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DA5D" w14:textId="77777777" w:rsidR="00384C4C" w:rsidRDefault="00384C4C">
      <w:r>
        <w:t xml:space="preserve">每日論語　　悟道法師主講　　（第二一五集）　　</w:t>
      </w:r>
      <w:r>
        <w:t>2019/6/25</w:t>
      </w:r>
      <w:r>
        <w:t xml:space="preserve">　　台灣　　檔名：</w:t>
      </w:r>
      <w:r>
        <w:t xml:space="preserve">WD20-037-0215 </w:t>
      </w:r>
    </w:p>
    <w:p w14:paraId="2AA40511" w14:textId="77777777" w:rsidR="00384C4C" w:rsidRDefault="00384C4C">
      <w:pPr>
        <w:pStyle w:val="a3"/>
      </w:pPr>
      <w:r>
        <w:t xml:space="preserve">　　諸位同學，大家早上好！我們繼續來學習雪廬老人的《論語講記》，「泰伯篇」第九章。</w:t>
      </w:r>
      <w:r>
        <w:t xml:space="preserve"> </w:t>
      </w:r>
    </w:p>
    <w:p w14:paraId="716338E3" w14:textId="77777777" w:rsidR="00384C4C" w:rsidRDefault="00384C4C">
      <w:pPr>
        <w:pStyle w:val="a3"/>
      </w:pPr>
      <w:r>
        <w:t xml:space="preserve">　　【子曰。民可使由之。不可使知之。】</w:t>
      </w:r>
      <w:r>
        <w:t xml:space="preserve"> </w:t>
      </w:r>
    </w:p>
    <w:p w14:paraId="068A42E5" w14:textId="77777777" w:rsidR="00384C4C" w:rsidRDefault="00384C4C">
      <w:pPr>
        <w:pStyle w:val="a3"/>
      </w:pPr>
      <w:r>
        <w:t xml:space="preserve">　　『子曰：民可使由之，不可使知之。』</w:t>
      </w:r>
      <w:r>
        <w:t xml:space="preserve"> </w:t>
      </w:r>
    </w:p>
    <w:p w14:paraId="01350A5C" w14:textId="77777777" w:rsidR="00384C4C" w:rsidRDefault="00384C4C">
      <w:pPr>
        <w:pStyle w:val="a3"/>
      </w:pPr>
      <w:r>
        <w:t xml:space="preserve">　　「有注解說民指孔子弟子，這種說法不對。後人還有說孔子是愚民政策，這也不對。」以上這兩種說法都不正確、不對的，雪廬老人特別給我們舉出來，這兩種說法都是錯誤的說法。</w:t>
      </w:r>
      <w:r>
        <w:t xml:space="preserve"> </w:t>
      </w:r>
    </w:p>
    <w:p w14:paraId="6ADB239E" w14:textId="77777777" w:rsidR="00384C4C" w:rsidRDefault="00384C4C">
      <w:pPr>
        <w:pStyle w:val="a3"/>
      </w:pPr>
      <w:r>
        <w:t xml:space="preserve">　　「禮樂征伐自天子出，有德無位不敢作禮樂，有位若無德，也不敢作禮樂，必須有位有德才能制禮作樂。幫助國家作禮樂的人，都是有名的人，都是為國為民，作的禮樂對百姓都適宜，容易實行。」</w:t>
      </w:r>
      <w:r>
        <w:t xml:space="preserve"> </w:t>
      </w:r>
    </w:p>
    <w:p w14:paraId="73F24714" w14:textId="77777777" w:rsidR="00384C4C" w:rsidRDefault="00384C4C">
      <w:pPr>
        <w:pStyle w:val="a3"/>
      </w:pPr>
      <w:r>
        <w:t xml:space="preserve">　　「禮樂的理論若叫百姓都懂，那辦不到，但是匹夫匹婦也能實行」，匹夫匹婦都能實行。「禮樂的道理，連聖人也有所不能知。」</w:t>
      </w:r>
      <w:r>
        <w:t xml:space="preserve"> </w:t>
      </w:r>
    </w:p>
    <w:p w14:paraId="309DB830" w14:textId="77777777" w:rsidR="00384C4C" w:rsidRDefault="00384C4C">
      <w:pPr>
        <w:pStyle w:val="a3"/>
      </w:pPr>
      <w:r>
        <w:t xml:space="preserve">　　「譬如佛家，真如是言語道斷，心行處滅，一用心思想就不是真如了，必得譬如飲水，冷暖自知。所以《孟子．盡心篇》，孟子說：行之而不著焉，習矣而不察焉，終身由之而不知其道者，眾也。」</w:t>
      </w:r>
      <w:r>
        <w:t xml:space="preserve"> </w:t>
      </w:r>
    </w:p>
    <w:p w14:paraId="2DAFCEE6" w14:textId="77777777" w:rsidR="00384C4C" w:rsidRDefault="00384C4C">
      <w:pPr>
        <w:pStyle w:val="a3"/>
      </w:pPr>
      <w:r>
        <w:t xml:space="preserve">　　「你們學《論語》，因為你們學佛的緣故，不學佛不知中國文化的奧妙，學佛才知民可使由之，不可使知之。你們學佛，知道普通法門要信解行證，淨土宗是信願行，不說解，這就是民可使由之，不可使知之」。</w:t>
      </w:r>
      <w:r>
        <w:t xml:space="preserve"> </w:t>
      </w:r>
    </w:p>
    <w:p w14:paraId="4CA10FA4" w14:textId="77777777" w:rsidR="00384C4C" w:rsidRDefault="00384C4C">
      <w:pPr>
        <w:pStyle w:val="a3"/>
      </w:pPr>
      <w:r>
        <w:t xml:space="preserve">　　好，這章書我們就學習到這裡。祝大家福慧增長，法喜充滿。阿彌陀佛！　　</w:t>
      </w:r>
    </w:p>
    <w:sectPr w:rsidR="00384C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C5E00" w14:textId="77777777" w:rsidR="00384C4C" w:rsidRDefault="00384C4C" w:rsidP="00ED6CB5">
      <w:r>
        <w:separator/>
      </w:r>
    </w:p>
  </w:endnote>
  <w:endnote w:type="continuationSeparator" w:id="0">
    <w:p w14:paraId="43F04A52" w14:textId="77777777" w:rsidR="00384C4C" w:rsidRDefault="00384C4C" w:rsidP="00ED6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5B51" w14:textId="77777777" w:rsidR="00384C4C" w:rsidRDefault="00384C4C" w:rsidP="00ED6CB5">
      <w:r>
        <w:separator/>
      </w:r>
    </w:p>
  </w:footnote>
  <w:footnote w:type="continuationSeparator" w:id="0">
    <w:p w14:paraId="6E519C9E" w14:textId="77777777" w:rsidR="00384C4C" w:rsidRDefault="00384C4C" w:rsidP="00ED6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B5"/>
    <w:rsid w:val="00384C4C"/>
    <w:rsid w:val="007931EE"/>
    <w:rsid w:val="00ED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5AF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C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C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C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C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