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F4C46" w14:textId="77777777" w:rsidR="00B96404" w:rsidRDefault="00B96404">
      <w:r>
        <w:t xml:space="preserve">每日論語　　悟道法師主講　　（第二二Ｏ集）　　</w:t>
      </w:r>
      <w:r>
        <w:t>2019/6/30</w:t>
      </w:r>
      <w:r>
        <w:t xml:space="preserve">　　日本　　檔名：</w:t>
      </w:r>
      <w:r>
        <w:t xml:space="preserve">WD20-037-0220 </w:t>
      </w:r>
    </w:p>
    <w:p w14:paraId="3CBDE303" w14:textId="77777777" w:rsidR="00B96404" w:rsidRDefault="00B96404">
      <w:pPr>
        <w:pStyle w:val="a3"/>
      </w:pPr>
      <w:r>
        <w:t xml:space="preserve">　　諸位同學，大家早上好！我們繼續來學習雪廬老人的《論語講記》，「泰伯篇」第十四章。</w:t>
      </w:r>
      <w:r>
        <w:t xml:space="preserve"> </w:t>
      </w:r>
    </w:p>
    <w:p w14:paraId="5BBAABCD" w14:textId="77777777" w:rsidR="00B96404" w:rsidRDefault="00B96404">
      <w:pPr>
        <w:pStyle w:val="a3"/>
      </w:pPr>
      <w:r>
        <w:t xml:space="preserve">　　【子曰。不在其位。不謀其政。】</w:t>
      </w:r>
      <w:r>
        <w:t xml:space="preserve"> </w:t>
      </w:r>
    </w:p>
    <w:p w14:paraId="235DBCC7" w14:textId="77777777" w:rsidR="00B96404" w:rsidRDefault="00B96404">
      <w:pPr>
        <w:pStyle w:val="a3"/>
      </w:pPr>
      <w:r>
        <w:t xml:space="preserve">　　「《論語》當中有注解議論少的及太多的」，雪廬老人講，在《論語》這一本經書當中，有注解，這注解也很多，注解議論少的，以及議論太多的，都有，「吾都少發議論」，雪廬老人講解《論語》，他比較少發表議論。「一來是要幫助你們的行為，這是重要點。」這是雪廬老人講《論語》他主要的重點，就是要幫助我們改善身口意三業的行為。「再者，你們自己以後看書，若沒有程度便看不懂，看《論語》紛紛紜紜的注解，更看不懂，因為你們連字也不識。」雪廬老人講，對我們現代的人來講的確是這樣的。我們自己看注解，實在講，沒有雪廬老人給我們講解，一些關鍵性的地方，我們自己去看，的確看不懂。注解很多種講法，看了愈多又更不懂，因為我們連文字也不認識。不認識文字，對文字裡面的義理當然就不懂了，這是我們現代人都有這個問題。「詩有音有聲更難」，詩我們講音聲，有音跟聲那就更難了。「音有四聲」，這音，一個音當中有四聲，「你們也不認識，因為沒有學過聲韻學」，的確我們沒學過。「例如《禮記》，你們若以現今的音來讀，不出三四章，就會有錯。現今這個時候，無禮無樂，若有禮樂，不可不學詩。」以前有禮樂，就不可以不學詩了，我們現在這個時代，沒有禮也沒有樂，在位領導的人沒有制禮作樂。「</w:t>
      </w:r>
      <w:r>
        <w:t>從前太廟都要吟詠《詩經》，從前吟詩都有譜，不可隨意唱，如今你們卻覺得奇怪。」</w:t>
      </w:r>
      <w:r>
        <w:t xml:space="preserve"> </w:t>
      </w:r>
    </w:p>
    <w:p w14:paraId="5E1FE7F2" w14:textId="77777777" w:rsidR="00B96404" w:rsidRDefault="00B96404">
      <w:pPr>
        <w:pStyle w:val="a3"/>
      </w:pPr>
      <w:r>
        <w:t xml:space="preserve">　　「這一章書，程朱就講錯了，後人有出來批駁。程朱的學問尚且有人來批駁他，程朱如日，吾如香頭，何況你們大家。」宋朝的大儒程子、朱子他們的學問還有錯誤的。他們的學問雪廬老人比喻像太陽，比喻自己像香頭一樣，謙虛，這是想不能跟程朱這些大儒相比，何況你們大家？我們就更不用談了。「從前吾曾讀十三經，而且《老》、《莊》、《楚辭》也是必讀的書。」這些雪廬老人都讀過，我們現代人能讀這些經書的可以說很少了。</w:t>
      </w:r>
      <w:r>
        <w:t xml:space="preserve"> </w:t>
      </w:r>
    </w:p>
    <w:p w14:paraId="09121DF6" w14:textId="77777777" w:rsidR="00B96404" w:rsidRDefault="00B96404">
      <w:pPr>
        <w:pStyle w:val="a3"/>
      </w:pPr>
      <w:r>
        <w:t xml:space="preserve">　　『子曰：不在其位，不謀其政。』「不在於一個地位上，那這個地方的政治，就別參加、別管，這必須大開圓解。你在這個地位上，例如警察局不能管法院的事，反過來說也是如此。雖然警局、法院都管百姓犯法的事，但是性質不一樣，這是大的例子。小的例子，例如在一個機關辦事，一人是辦財政，一是辦司法，如果辦財政到司法的辦公處，兩眼不可以看他的公事，以免日後公務外洩，要避嫌疑。」</w:t>
      </w:r>
      <w:r>
        <w:t xml:space="preserve"> </w:t>
      </w:r>
    </w:p>
    <w:p w14:paraId="17142130" w14:textId="77777777" w:rsidR="00B96404" w:rsidRDefault="00B96404">
      <w:pPr>
        <w:pStyle w:val="a3"/>
      </w:pPr>
      <w:r>
        <w:t xml:space="preserve">　　「假若人來就教，只說原則，不說細節」，假如有人來請教，請教他那一方面的問題，我們回答只說一個原則，也不說細節。「例如哀公問何為則服？孔子只答說：舉直錯諸枉。」「例如﹕蓮社」，這是台中蓮社，「圖書館」，台中慈光圖書館，這是兩個地方，「各司其事，不可越權，不要替人作主張。俗話說：親戚遠來香，鄰居高搭牆。他人的事不來找我們，不可多管閒事，例如人家家中吵架，你不要找上去。所以鄰里鄉黨來找，只為他說原則，因為辦好沒有功德，辦壞是你的事」。</w:t>
      </w:r>
      <w:r>
        <w:t xml:space="preserve"> </w:t>
      </w:r>
    </w:p>
    <w:p w14:paraId="7A49F877" w14:textId="77777777" w:rsidR="00B96404" w:rsidRDefault="00B96404">
      <w:pPr>
        <w:pStyle w:val="a3"/>
      </w:pPr>
      <w:r>
        <w:lastRenderedPageBreak/>
        <w:t xml:space="preserve">　　「《集解》，孔曰：欲各專一於其職。若程子的注，發議論的地方與經文不相合。《集注》說﹕若君大夫問而告者則有矣。這不是注解的慣例，這章經文沒有君也沒有大夫。這是解經，不是發揮講義。張南軒說﹕若有從吾謀者，則亦有時而可以告之矣。但是這與經文卻不相合，經中本來就沒有分別君與大夫。如今的人又注經，又改經，可想而知了。《易經》說，君子思不出其位。何況是謀政！」</w:t>
      </w:r>
      <w:r>
        <w:t xml:space="preserve"> </w:t>
      </w:r>
    </w:p>
    <w:p w14:paraId="02CDD8C2" w14:textId="77777777" w:rsidR="00B96404" w:rsidRDefault="00B96404">
      <w:pPr>
        <w:pStyle w:val="a3"/>
      </w:pPr>
      <w:r>
        <w:t xml:space="preserve">　　「你們學這一章，不要妄加替人出主意，人來問只說原則。答應人的事，就要為人辦好。若是著書，就不要妄加翻譯經、改變經。應知注經不容易，不可率爾，可參考《論語稽》」。</w:t>
      </w:r>
      <w:r>
        <w:t xml:space="preserve"> </w:t>
      </w:r>
    </w:p>
    <w:p w14:paraId="2E0130C4" w14:textId="77777777" w:rsidR="00B96404" w:rsidRDefault="00B96404">
      <w:pPr>
        <w:pStyle w:val="a3"/>
      </w:pPr>
      <w:r>
        <w:t xml:space="preserve">　　這章書我們就學習到這個地方。這個地方講解雖然不是很多，但是每一句話都是很重要的，我們要常常體會在心裡，遇到事情我們就有個準則了。大致上就是不在其位，我們就不謀其政，不可以越權去插手管別人的事情。如果有人來問，我們只說個原則給他參考，也不可以，等於代替他的工作，講了很多細則。這是一個原則性，必須要遵守的。</w:t>
      </w:r>
      <w:r>
        <w:t xml:space="preserve"> </w:t>
      </w:r>
    </w:p>
    <w:p w14:paraId="7EB8A213" w14:textId="77777777" w:rsidR="00B96404" w:rsidRDefault="00B96404">
      <w:pPr>
        <w:pStyle w:val="a3"/>
      </w:pPr>
      <w:r>
        <w:t xml:space="preserve">　　好，今天就講到此地。祝大家福慧增長，法喜充滿。阿彌陀佛！　　</w:t>
      </w:r>
    </w:p>
    <w:sectPr w:rsidR="00B964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87AE8" w14:textId="77777777" w:rsidR="00B96404" w:rsidRDefault="00B96404" w:rsidP="005D66CA">
      <w:r>
        <w:separator/>
      </w:r>
    </w:p>
  </w:endnote>
  <w:endnote w:type="continuationSeparator" w:id="0">
    <w:p w14:paraId="0804D9A2" w14:textId="77777777" w:rsidR="00B96404" w:rsidRDefault="00B96404" w:rsidP="005D6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E6080" w14:textId="77777777" w:rsidR="00B96404" w:rsidRDefault="00B96404" w:rsidP="005D66CA">
      <w:r>
        <w:separator/>
      </w:r>
    </w:p>
  </w:footnote>
  <w:footnote w:type="continuationSeparator" w:id="0">
    <w:p w14:paraId="2CB9D066" w14:textId="77777777" w:rsidR="00B96404" w:rsidRDefault="00B96404" w:rsidP="005D66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CA"/>
    <w:rsid w:val="005D66CA"/>
    <w:rsid w:val="007931EE"/>
    <w:rsid w:val="00B9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F3A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66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66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66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66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