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74B8" w14:textId="77777777" w:rsidR="00A52018" w:rsidRDefault="00A52018">
      <w:r>
        <w:t xml:space="preserve">每日論語　　悟道法師主講　　（第二二四集）　　</w:t>
      </w:r>
      <w:r>
        <w:t>2019/7/4</w:t>
      </w:r>
      <w:r>
        <w:t xml:space="preserve">　　台灣　　檔名：</w:t>
      </w:r>
      <w:r>
        <w:t xml:space="preserve">WD20-037-0224 </w:t>
      </w:r>
    </w:p>
    <w:p w14:paraId="77DC93FA" w14:textId="77777777" w:rsidR="00A52018" w:rsidRDefault="00A52018">
      <w:pPr>
        <w:pStyle w:val="a3"/>
      </w:pPr>
      <w:r>
        <w:t xml:space="preserve">　　諸位同學，大家早上好！我們繼續來學習雪廬老人的《論語講記》，「泰伯篇」第十八章。</w:t>
      </w:r>
      <w:r>
        <w:t xml:space="preserve"> </w:t>
      </w:r>
    </w:p>
    <w:p w14:paraId="6425D58E" w14:textId="77777777" w:rsidR="00A52018" w:rsidRDefault="00A52018">
      <w:pPr>
        <w:pStyle w:val="a3"/>
      </w:pPr>
      <w:r>
        <w:t xml:space="preserve">　　【子曰。巍巍乎。舜禹之有天下。而不與焉。】</w:t>
      </w:r>
      <w:r>
        <w:t xml:space="preserve"> </w:t>
      </w:r>
    </w:p>
    <w:p w14:paraId="1A7E8C9E" w14:textId="77777777" w:rsidR="00A52018" w:rsidRDefault="00A52018">
      <w:pPr>
        <w:pStyle w:val="a3"/>
      </w:pPr>
      <w:r>
        <w:t xml:space="preserve">　　「這一章的問題，不只是句讀而已。」</w:t>
      </w:r>
      <w:r>
        <w:t xml:space="preserve"> </w:t>
      </w:r>
    </w:p>
    <w:p w14:paraId="03E54FAF" w14:textId="77777777" w:rsidR="00A52018" w:rsidRDefault="00A52018">
      <w:pPr>
        <w:pStyle w:val="a3"/>
      </w:pPr>
      <w:r>
        <w:t xml:space="preserve">　　「舜接受堯禪讓天下，禹是受舜禪讓，這一章說舜禹的有天下，並沒有說堯有天下。」</w:t>
      </w:r>
      <w:r>
        <w:t xml:space="preserve"> </w:t>
      </w:r>
    </w:p>
    <w:p w14:paraId="0F2EAE97" w14:textId="77777777" w:rsidR="00A52018" w:rsidRDefault="00A52018">
      <w:pPr>
        <w:pStyle w:val="a3"/>
      </w:pPr>
      <w:r>
        <w:t xml:space="preserve">　　『子曰：巍巍乎』，「巍巍乎，偉大到極處了。」</w:t>
      </w:r>
      <w:r>
        <w:t xml:space="preserve"> </w:t>
      </w:r>
    </w:p>
    <w:p w14:paraId="0CEC8B4F" w14:textId="77777777" w:rsidR="00A52018" w:rsidRDefault="00A52018">
      <w:pPr>
        <w:pStyle w:val="a3"/>
      </w:pPr>
      <w:r>
        <w:t xml:space="preserve">　　『舜禹之有天下』，「什麼偉大？舜原來沒有天下，天下是堯所給的，所以舜有天下是很偉大。禹原來也沒有天下，而是舜所給的天下，所以禹的有天下也很偉大」。「《集解》說」，《論語集解》說，「美舜禹也。言己不與求天下而得之。巍巍，高大之稱。」</w:t>
      </w:r>
      <w:r>
        <w:t xml:space="preserve"> </w:t>
      </w:r>
    </w:p>
    <w:p w14:paraId="69A90EDE" w14:textId="77777777" w:rsidR="00A52018" w:rsidRDefault="00A52018">
      <w:pPr>
        <w:pStyle w:val="a3"/>
      </w:pPr>
      <w:r>
        <w:t xml:space="preserve">　　『而不與焉。』「子貢曰：夫子溫良恭儉讓以得之，夫子之求之也，其諸異乎人之求之與！這一章的與，注解說不與求，這種講法很好。若解釋作無為垂拱而治便不合適，否則下面有一章經文讚歎堯說煥乎其有文章，要怎麼講？再試看以後的數章，以及從前說巫馬期的終日忙碌等，對一對，就可以略知一些了。」</w:t>
      </w:r>
      <w:r>
        <w:t xml:space="preserve"> </w:t>
      </w:r>
    </w:p>
    <w:p w14:paraId="15AC4B32" w14:textId="77777777" w:rsidR="00A52018" w:rsidRDefault="00A52018">
      <w:pPr>
        <w:pStyle w:val="a3"/>
      </w:pPr>
      <w:r>
        <w:t xml:space="preserve">　　「舜、禹二人接受天下，沒有存得天下的心，也沒有參與得天下的計畫，心中沒有這些事，得了天下並不在意，因為心不在此，是人送來的。」</w:t>
      </w:r>
      <w:r>
        <w:t xml:space="preserve"> </w:t>
      </w:r>
    </w:p>
    <w:p w14:paraId="0DCD69E6" w14:textId="77777777" w:rsidR="00A52018" w:rsidRDefault="00A52018">
      <w:pPr>
        <w:pStyle w:val="a3"/>
      </w:pPr>
      <w:r>
        <w:t xml:space="preserve">　　「大家沒有學過文言文，害處很大，如今立法院又提寫字方向，要從左至右，可見以後更難了。」這是講，台灣在雪廬老人那個時候就有提出寫字從左至右，這個就很難了。</w:t>
      </w:r>
      <w:r>
        <w:t xml:space="preserve"> </w:t>
      </w:r>
    </w:p>
    <w:p w14:paraId="1C6460E4" w14:textId="77777777" w:rsidR="00A52018" w:rsidRDefault="00A52018">
      <w:pPr>
        <w:pStyle w:val="a3"/>
      </w:pPr>
      <w:r>
        <w:t xml:space="preserve">　　好，這章書我們就學習到這裡。祝大家福慧增長，法喜充滿。阿彌陀佛！　　</w:t>
      </w:r>
    </w:p>
    <w:sectPr w:rsidR="00A520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C1CB" w14:textId="77777777" w:rsidR="00A52018" w:rsidRDefault="00A52018" w:rsidP="00341CFA">
      <w:r>
        <w:separator/>
      </w:r>
    </w:p>
  </w:endnote>
  <w:endnote w:type="continuationSeparator" w:id="0">
    <w:p w14:paraId="5B8BA6FF" w14:textId="77777777" w:rsidR="00A52018" w:rsidRDefault="00A52018" w:rsidP="00341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6225" w14:textId="77777777" w:rsidR="00A52018" w:rsidRDefault="00A52018" w:rsidP="00341CFA">
      <w:r>
        <w:separator/>
      </w:r>
    </w:p>
  </w:footnote>
  <w:footnote w:type="continuationSeparator" w:id="0">
    <w:p w14:paraId="33E379F9" w14:textId="77777777" w:rsidR="00A52018" w:rsidRDefault="00A52018" w:rsidP="00341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FA"/>
    <w:rsid w:val="00341CFA"/>
    <w:rsid w:val="007931EE"/>
    <w:rsid w:val="00A5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5BA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