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A4253" w14:textId="77777777" w:rsidR="00D06492" w:rsidRDefault="00D06492">
      <w:r>
        <w:t xml:space="preserve">每日論語　　悟道法師主講　　（第二三九集）　　</w:t>
      </w:r>
      <w:r>
        <w:t>2019/7/19</w:t>
      </w:r>
      <w:r>
        <w:t xml:space="preserve">　　廈門　　檔名：</w:t>
      </w:r>
      <w:r>
        <w:t xml:space="preserve">WD20-037-0239 </w:t>
      </w:r>
    </w:p>
    <w:p w14:paraId="49DF5AB2" w14:textId="77777777" w:rsidR="00D06492" w:rsidRDefault="00D06492">
      <w:pPr>
        <w:pStyle w:val="a3"/>
      </w:pPr>
      <w:r>
        <w:t xml:space="preserve">　　諸位同學，大家早上好！我們繼續來學習雪廬老人的《論語講記》，「子罕篇」第十二章。</w:t>
      </w:r>
      <w:r>
        <w:t xml:space="preserve"> </w:t>
      </w:r>
    </w:p>
    <w:p w14:paraId="18A731C3" w14:textId="77777777" w:rsidR="00D06492" w:rsidRDefault="00D06492">
      <w:pPr>
        <w:pStyle w:val="a3"/>
      </w:pPr>
      <w:r>
        <w:t xml:space="preserve">　　【子貢曰。有美玉於斯。韞匵而藏諸。求善賈而沽諸。子曰。沽之哉。沽之哉。我待善賈者也。】</w:t>
      </w:r>
      <w:r>
        <w:t xml:space="preserve"> </w:t>
      </w:r>
    </w:p>
    <w:p w14:paraId="612CCA2C" w14:textId="77777777" w:rsidR="00D06492" w:rsidRDefault="00D06492">
      <w:pPr>
        <w:pStyle w:val="a3"/>
      </w:pPr>
      <w:r>
        <w:t xml:space="preserve">　　「子貢這一章，若懂詩、禪，吾不說你們也懂這一章，你們就當作詩禪來聽。」</w:t>
      </w:r>
      <w:r>
        <w:t xml:space="preserve"> </w:t>
      </w:r>
    </w:p>
    <w:p w14:paraId="0E54ED01" w14:textId="77777777" w:rsidR="00D06492" w:rsidRDefault="00D06492">
      <w:pPr>
        <w:pStyle w:val="a3"/>
      </w:pPr>
      <w:r>
        <w:t xml:space="preserve">　　『子貢曰：有美玉於斯，韞匵而藏諸？』「前面述而篇，有子貢問：伯夷、叔齊何人也章」，這一章前面子貢問，在述而篇，「現今是孔子辭職了，周遊列國，什麼事都不做時」，什麼事都不做的時候。「子貢問：有一塊好玉在此，把這塊美玉放在櫃中。韞、蘊兩字相同。」《論語》這個韞，左邊一個韋馱的韋，旁邊再加上溫的右邊。我們一般看到的蘊，是五蘊皆空那個蘊，這兩個字是相同的。所以這個也念蘊，跟五蘊那個蘊這兩個字是相同，韞就是藏起來，「而藏起來」。</w:t>
      </w:r>
      <w:r>
        <w:t xml:space="preserve"> </w:t>
      </w:r>
    </w:p>
    <w:p w14:paraId="6B14EBDE" w14:textId="77777777" w:rsidR="00D06492" w:rsidRDefault="00D06492">
      <w:pPr>
        <w:pStyle w:val="a3"/>
      </w:pPr>
      <w:r>
        <w:t xml:space="preserve">　　『求善賈而沽諸？』上面一個西，下面一個貝，這個念賈，有注解讀沽。「商與賈不同，商者，商也，到處去買賣」，這是商，商人的商，「賈者是坐在一處不動，人來買，或遇到識貨的賣給他」。「沽，賣也」，三點水再一個古代的古，這是念沽，沽就是賣。這商跟賈不一樣，商到處去買賣，去買也去賣，到處去，這叫商。賈，他是坐在一個地方不動的，等人來買，或者遇到識貨的人賣給他。沽，是賣。</w:t>
      </w:r>
      <w:r>
        <w:t xml:space="preserve"> </w:t>
      </w:r>
    </w:p>
    <w:p w14:paraId="1CA99FCF" w14:textId="77777777" w:rsidR="00D06492" w:rsidRDefault="00D06492">
      <w:pPr>
        <w:pStyle w:val="a3"/>
      </w:pPr>
      <w:r>
        <w:t xml:space="preserve">　　『子曰：沽之哉，沽之哉，我待善賈者也。』「孔子說，我賣給他，我賣給他。重複兩句，加重辭氣。下面又加一句，我，孔子點破，我待賈而沽者也。」我等待買的人，也就是識貨的人來買；有識貨的人，有人來買，我就賣給他了。</w:t>
      </w:r>
      <w:r>
        <w:t xml:space="preserve"> </w:t>
      </w:r>
    </w:p>
    <w:p w14:paraId="32647AED" w14:textId="77777777" w:rsidR="00D06492" w:rsidRDefault="00D06492">
      <w:pPr>
        <w:pStyle w:val="a3"/>
      </w:pPr>
      <w:r>
        <w:t xml:space="preserve">　　「人有相當的能力後，有人遇得到賞識，有人不能遇到賞識。」這是人他有相當的能力之後，他遇得到有人賞識他、認識他；那有的人他就不能遇到賞識。「古之學者為己，今之學者為人。學習原本是為個人，先將自己栽培好，有人來沽就賣出，否則永遠放者。人不知而不慍、不患人之不己知，就怕自己沒有東西賣。縱使賣不出去，也必須栽培好。」這是做學問的態度。古時候的學者是為己，現在的學者是為人。學習原本就是為個人，先將自己栽培好，自己學好了，有人來沽就賣出；如果沒有人來買，那永遠就放著。人不知而不慍、不患人之不己知，《論語》開頭第一句就是這麼講。人不知道、不認識自己，不知道自己有能力；不怕人家不知道，人家不知道也不埋怨，就怕自己沒有東西賣。縱始賣不出去，沒有人來賞識，沒有人認識，自己也必須要栽培好。</w:t>
      </w:r>
      <w:r>
        <w:t xml:space="preserve"> </w:t>
      </w:r>
    </w:p>
    <w:p w14:paraId="53CCAED0" w14:textId="77777777" w:rsidR="00D06492" w:rsidRDefault="00D06492">
      <w:pPr>
        <w:pStyle w:val="a3"/>
      </w:pPr>
      <w:r>
        <w:t xml:space="preserve">　　「賣出去，也有不好的，例如岳飛三十九歲時，直搗黃龍在眼前，宋朝眼看要滅掉金了，辛酉年三十九歲卻被賜死，遭到如此後果，也太奇怪了。那些沒出去，在家的人，反而比岳飛好。」「今年是辛酉年」，雪廬老人講這章書，那一年剛好也是辛酉年，「你們今年可以為岳飛默悼」，默默的給他哀悼，這是舉出岳飛。</w:t>
      </w:r>
      <w:r>
        <w:t xml:space="preserve"> </w:t>
      </w:r>
    </w:p>
    <w:p w14:paraId="6E5B3DCC" w14:textId="77777777" w:rsidR="00D06492" w:rsidRDefault="00D06492">
      <w:pPr>
        <w:pStyle w:val="a3"/>
      </w:pPr>
      <w:r>
        <w:lastRenderedPageBreak/>
        <w:t xml:space="preserve">　　「講《論語》是世間法，世間法做好了，就露出世間法」，出世間法就露出來了。講《論語》是世間法，世間法做好了，出世間法就露出來了。這個是我們要學習的地方，所以這章書我們要好好去體會。</w:t>
      </w:r>
      <w:r>
        <w:t xml:space="preserve"> </w:t>
      </w:r>
    </w:p>
    <w:p w14:paraId="3D5EABF4" w14:textId="77777777" w:rsidR="00D06492" w:rsidRDefault="00D06492">
      <w:pPr>
        <w:pStyle w:val="a3"/>
      </w:pPr>
      <w:r>
        <w:t xml:space="preserve">　　好，我們今天就學習到這裡。祝大家福慧增長，法喜充滿。阿彌陀佛！　　</w:t>
      </w:r>
    </w:p>
    <w:sectPr w:rsidR="00D064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263C" w14:textId="77777777" w:rsidR="00D06492" w:rsidRDefault="00D06492" w:rsidP="00D81A31">
      <w:r>
        <w:separator/>
      </w:r>
    </w:p>
  </w:endnote>
  <w:endnote w:type="continuationSeparator" w:id="0">
    <w:p w14:paraId="589DB04A" w14:textId="77777777" w:rsidR="00D06492" w:rsidRDefault="00D06492" w:rsidP="00D8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61317" w14:textId="77777777" w:rsidR="00D06492" w:rsidRDefault="00D06492" w:rsidP="00D81A31">
      <w:r>
        <w:separator/>
      </w:r>
    </w:p>
  </w:footnote>
  <w:footnote w:type="continuationSeparator" w:id="0">
    <w:p w14:paraId="3F0CC311" w14:textId="77777777" w:rsidR="00D06492" w:rsidRDefault="00D06492" w:rsidP="00D81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31"/>
    <w:rsid w:val="007931EE"/>
    <w:rsid w:val="00D06492"/>
    <w:rsid w:val="00D8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D7B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1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1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1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1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