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0EBB9" w14:textId="77777777" w:rsidR="007A6552" w:rsidRDefault="007A6552">
      <w:r>
        <w:t xml:space="preserve">每日論語　　悟道法師主講　　（第二四六集）　　</w:t>
      </w:r>
      <w:r>
        <w:t>2019/7/26</w:t>
      </w:r>
      <w:r>
        <w:t xml:space="preserve">　　廈門　　檔名：</w:t>
      </w:r>
      <w:r>
        <w:t xml:space="preserve">WD20-037-0246 </w:t>
      </w:r>
    </w:p>
    <w:p w14:paraId="6DE01FC0" w14:textId="77777777" w:rsidR="007A6552" w:rsidRDefault="007A6552">
      <w:pPr>
        <w:pStyle w:val="a3"/>
      </w:pPr>
      <w:r>
        <w:t xml:space="preserve">　　諸位同學，大家早上好！我們繼續來學習雪廬老人的《論語講記》，「子罕篇」第十九章。</w:t>
      </w:r>
      <w:r>
        <w:t xml:space="preserve"> </w:t>
      </w:r>
    </w:p>
    <w:p w14:paraId="4A2EF938" w14:textId="77777777" w:rsidR="007A6552" w:rsidRDefault="007A6552">
      <w:pPr>
        <w:pStyle w:val="a3"/>
      </w:pPr>
      <w:r>
        <w:t xml:space="preserve">　　【子曰。語之而不惰者。其回也與。】</w:t>
      </w:r>
      <w:r>
        <w:t xml:space="preserve"> </w:t>
      </w:r>
    </w:p>
    <w:p w14:paraId="071BA58D" w14:textId="77777777" w:rsidR="007A6552" w:rsidRDefault="007A6552">
      <w:pPr>
        <w:pStyle w:val="a3"/>
      </w:pPr>
      <w:r>
        <w:t xml:space="preserve">　　『子曰：語之而不惰者。』「這一章諍論很多。語，是說話的人，必須有聽的對方。惰，是說者怠惰」，說的人懶得講，惰，怠惰，「還是聽者怠惰」？是說者怠惰，還是聽者怠惰？「聽者是顏子，但是說者或聽者，是誰不惰？」這講聽話的是顏回（顏子），但是，是說的人或者是聽的人，是誰不惰呢？「這有二說」，有兩種說法，「一指孔子，一指顏子」，有這兩種說法。</w:t>
      </w:r>
      <w:r>
        <w:t xml:space="preserve"> </w:t>
      </w:r>
    </w:p>
    <w:p w14:paraId="4AAABB48" w14:textId="77777777" w:rsidR="007A6552" w:rsidRDefault="007A6552">
      <w:pPr>
        <w:pStyle w:val="a3"/>
      </w:pPr>
      <w:r>
        <w:t xml:space="preserve">　　『其回也與！』「《集解》，漢注比較好。顏淵了解，所以語之而不惰；其餘的人不了解，所以有惰語的時候，有不願說的時侯。」就是講話很樂意給他講，因為顏淵了解，所以樂意跟他講，語之而不惰。其餘的人不了解，或者聽不懂，所以有惰語的時候，有不願意說的時侯。有時候講，對方他聽不明白，或者對方他沒有心要聽，這個時候講的人，他就會有惰語，就不願意講，因為講了他也聽不進去，他也不願意聽，所以說的人就有不願意說的時候。</w:t>
      </w:r>
      <w:r>
        <w:t xml:space="preserve"> </w:t>
      </w:r>
    </w:p>
    <w:p w14:paraId="12DFA7AE" w14:textId="77777777" w:rsidR="007A6552" w:rsidRDefault="007A6552">
      <w:pPr>
        <w:pStyle w:val="a3"/>
      </w:pPr>
      <w:r>
        <w:t xml:space="preserve">　　「惰指說者」，這個惰語是講說的人，「採取這個說法，採漢注，這與聽的人有大關係」。為什麼說的人他不願意說？這跟聽的人有關係，而且是大有關係。</w:t>
      </w:r>
      <w:r>
        <w:t xml:space="preserve"> </w:t>
      </w:r>
    </w:p>
    <w:p w14:paraId="29306E9E" w14:textId="77777777" w:rsidR="007A6552" w:rsidRDefault="007A6552">
      <w:pPr>
        <w:pStyle w:val="a3"/>
      </w:pPr>
      <w:r>
        <w:t xml:space="preserve">　　「教的人以教學為他的興趣，必得教人，這是儒家的話。」儒家教學，教學相長，必得要去教別人，儒家是這麼講，儒家是講這樣的話。「依佛家說，學佛必得當菩薩，不要當羅漢，不度眾生就不能成佛。」羅漢沒有發願度眾生，不能成佛；菩薩發願度眾生，那就要講經教學，這樣才能成佛，這是佛家講的話。所以佛勉勵吾弟子要成佛，那成佛要先作菩薩，菩薩到修學圓滿就成佛。「例如你們聽《論語》不受限制，但是必須能變變樣，講的人就高興；如何高興，或許看不出。吾講《論語》所為何來？吾是個人的興趣，所以教而不疲。你們若聽課打瞌睡，教的人就無興趣；若大家一步步進步，吾賣命也教。」這是雪廬老人講，大家到蓮社聽《論語》不受限制，但是希望能夠改變，變變樣，改變，就是有進步，依照《論語》來修正自己過去錯誤的言行，那講的人就高興，看到學生能夠改變，有幫助，他能夠提升。雪廬老人講《論語》，為什麼他講？就是個人興趣，所以教不疲，他有這個興趣來教，教這一門課。那如果聽課的人都在那裡打瞌睡，當然教的人就沒有興趣了，對大家沒有幫助，當然也就懶得再講。如果大家都有進步，雪廬老人講，賣命他也教。「學習必得要求老師，《書經》說，能自得師者王，謂人莫己若者亡。」這裡雪廬老人講，</w:t>
      </w:r>
      <w:r>
        <w:t>學習必得，就是必須要求老師來指導。引用《書經》的兩句話：「能自得師者王」，自己能得到一個老師來教導，那就是王，這個王也就是得到自在；「謂人莫己若者亡」，以為別人都不如自己，那自己就亡了。所以這個亡是滅亡的亡，能自得師者王是國王的王，這個音一樣，字不一樣，意思也不同。所以要求老師，不能自以為是，以為自己都行了，這樣就亡了，滅亡了。</w:t>
      </w:r>
      <w:r>
        <w:t xml:space="preserve"> </w:t>
      </w:r>
    </w:p>
    <w:p w14:paraId="421063E9" w14:textId="77777777" w:rsidR="007A6552" w:rsidRDefault="007A6552">
      <w:pPr>
        <w:pStyle w:val="a3"/>
      </w:pPr>
      <w:r>
        <w:t xml:space="preserve">　　好，這一章書我們就學習到這裡。祝大家福慧增長，法喜充滿。阿彌陀佛！　　</w:t>
      </w:r>
    </w:p>
    <w:sectPr w:rsidR="007A65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70CC9" w14:textId="77777777" w:rsidR="007A6552" w:rsidRDefault="007A6552" w:rsidP="00775AA5">
      <w:r>
        <w:separator/>
      </w:r>
    </w:p>
  </w:endnote>
  <w:endnote w:type="continuationSeparator" w:id="0">
    <w:p w14:paraId="22E9760F" w14:textId="77777777" w:rsidR="007A6552" w:rsidRDefault="007A6552" w:rsidP="00775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738E9" w14:textId="77777777" w:rsidR="007A6552" w:rsidRDefault="007A6552" w:rsidP="00775AA5">
      <w:r>
        <w:separator/>
      </w:r>
    </w:p>
  </w:footnote>
  <w:footnote w:type="continuationSeparator" w:id="0">
    <w:p w14:paraId="5A6079C6" w14:textId="77777777" w:rsidR="007A6552" w:rsidRDefault="007A6552" w:rsidP="00775A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A5"/>
    <w:rsid w:val="00775AA5"/>
    <w:rsid w:val="007931EE"/>
    <w:rsid w:val="007A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C079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5A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5A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5A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5A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