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A363" w14:textId="77777777" w:rsidR="0035799F" w:rsidRDefault="0035799F">
      <w:r>
        <w:t xml:space="preserve">每日論語　　悟道法師主講　　（第二六二集）　　</w:t>
      </w:r>
      <w:r>
        <w:t>2019/8/11</w:t>
      </w:r>
      <w:r>
        <w:t xml:space="preserve">　　台灣　　檔名：</w:t>
      </w:r>
      <w:r>
        <w:t xml:space="preserve">WD20-037-0262 </w:t>
      </w:r>
    </w:p>
    <w:p w14:paraId="068FB80D" w14:textId="77777777" w:rsidR="0035799F" w:rsidRDefault="0035799F">
      <w:pPr>
        <w:pStyle w:val="a3"/>
      </w:pPr>
      <w:r>
        <w:t xml:space="preserve">　　諸位同學，大家早上好！我們繼續來學習雪廬老人的《論語講記》，「鄉黨篇」第五章。</w:t>
      </w:r>
      <w:r>
        <w:t xml:space="preserve"> </w:t>
      </w:r>
    </w:p>
    <w:p w14:paraId="52948F35" w14:textId="77777777" w:rsidR="0035799F" w:rsidRDefault="0035799F">
      <w:pPr>
        <w:pStyle w:val="a3"/>
      </w:pPr>
      <w:r>
        <w:t xml:space="preserve">　　【執圭。鞠躬如也。如不勝。上如揖。下如授。勃如戰色。足蹜蹜如有循。享禮有容色。私覿。愉愉如也。】</w:t>
      </w:r>
      <w:r>
        <w:t xml:space="preserve"> </w:t>
      </w:r>
    </w:p>
    <w:p w14:paraId="2846CA57" w14:textId="77777777" w:rsidR="0035799F" w:rsidRDefault="0035799F">
      <w:pPr>
        <w:pStyle w:val="a3"/>
      </w:pPr>
      <w:r>
        <w:t xml:space="preserve">　　「各篇講法都不相同，如吾從前講《禮記》，注重大家的行為，所以講的簡要，今日要進一步講。因為注解很多，講法有若干種。《禮記》注的少，所以依注子說就可以了。但是《論語》的注解很多，因此爭議也很多，爭議都是起於不留意注子。」這章書雪廬老人首先舉出他以前講《禮記》，跟講《論語》不相同的地方。《禮記》的注解少，所以依照注解來講就可以了，《論語》的注解很多，爭議的地方也很多，有爭議都是起於不留意注解，這個注子就是注解。</w:t>
      </w:r>
      <w:r>
        <w:t xml:space="preserve"> </w:t>
      </w:r>
    </w:p>
    <w:p w14:paraId="3ECD3D47" w14:textId="77777777" w:rsidR="0035799F" w:rsidRDefault="0035799F">
      <w:pPr>
        <w:pStyle w:val="a3"/>
      </w:pPr>
      <w:r>
        <w:t xml:space="preserve">　　「鄉黨記錄孔子個人的事，比較難懂，都是孔子的飲食起居動作，其實大家都不知道。」這是雪廬老人講鄉黨這一篇它主要記載的重點，都是孔子的起居、飲食、動作。那我們現代人當然不知道，不知道孔子那個時代，那個生活方式跟現在當然是完全不同。「例如今日與從前的菜名就有不同」，菜的名稱，我們現在跟以前就不一樣了。「中國的菜，皇帝也不能吃全」，做皇帝也沒辦法完全都吃到所有的菜，菜很多很多，「僅僅青菜豆腐就有二、三百種做法，隨時變化」。這是舉出一個例子，一個青菜豆腐就二、三百種的做法。「這一篇說孔子那時候的起居、飲食、酒、住屋（住的房子）、衣服，所以後人都不清楚。」</w:t>
      </w:r>
      <w:r>
        <w:t xml:space="preserve"> </w:t>
      </w:r>
    </w:p>
    <w:p w14:paraId="62B4A62E" w14:textId="77777777" w:rsidR="0035799F" w:rsidRDefault="0035799F">
      <w:pPr>
        <w:pStyle w:val="a3"/>
      </w:pPr>
      <w:r>
        <w:t xml:space="preserve">　　「《注疏》講考據，我們也要學，不能不記其中的文字，但那只是記問之學，要以此類推，知道吃穿都有規矩。例如立不中門，在日本及台灣還有門屏。行不履閾，今日雖然沒有門限」，沒有門檻，「但是要明白原則，求其中的變化，能夠舉一反三，否則用不著」。只要取它的精神，它主要的用意在哪裡，現在的房子、門格局跟古代是不一樣了，了解它其中的原則，知道其中怎麼變化，能夠舉一反三，如果不這樣就用不到了。</w:t>
      </w:r>
      <w:r>
        <w:t xml:space="preserve"> </w:t>
      </w:r>
    </w:p>
    <w:p w14:paraId="4758274D" w14:textId="77777777" w:rsidR="0035799F" w:rsidRDefault="0035799F">
      <w:pPr>
        <w:pStyle w:val="a3"/>
      </w:pPr>
      <w:r>
        <w:t xml:space="preserve">　　『執圭，鞠躬如也，如不勝。上如揖，下如授，勃如戰色』，「這一章是孔子當大夫，上朝的規矩，國家必須與外國辦交涉，來了使者必先下馬威，為難他。例如齊國晏子出使楚國的故事，晏子善辯，所以不辱使命。又比如諸葛亮在蜀，張溫出使蜀漢，讚歎說：蜀中多士。古人興這個，今日稍有不同，所以讀書不能呆板。」</w:t>
      </w:r>
      <w:r>
        <w:t xml:space="preserve"> </w:t>
      </w:r>
    </w:p>
    <w:p w14:paraId="1BE880BA" w14:textId="77777777" w:rsidR="0035799F" w:rsidRDefault="0035799F">
      <w:pPr>
        <w:pStyle w:val="a3"/>
      </w:pPr>
      <w:r>
        <w:t xml:space="preserve">　　「從前有圭，用玉製，出使外國時，圭更要緊，君賜圭有如信用一般。」當使者要帶著國君賜的圭去跟外國辦外交、交涉。「使者執圭，是魯國派孔子到外國。為了愛國，尊重國家，像今日向國旗鞠躬，都要收斂恭敬。」在孔子那個時候，拿著圭，當然這就要很尊重、很恭敬，就像現在我們向國旗鞠躬，升旗的時候要收斂恭敬一樣。</w:t>
      </w:r>
      <w:r>
        <w:t xml:space="preserve"> </w:t>
      </w:r>
    </w:p>
    <w:p w14:paraId="419F2B8C" w14:textId="77777777" w:rsidR="0035799F" w:rsidRDefault="0035799F">
      <w:pPr>
        <w:pStyle w:val="a3"/>
      </w:pPr>
      <w:r>
        <w:t xml:space="preserve">　　「如不勝任，心裡很謹慎。」這是講謹慎的態度。</w:t>
      </w:r>
      <w:r>
        <w:t xml:space="preserve"> </w:t>
      </w:r>
    </w:p>
    <w:p w14:paraId="12567ABF" w14:textId="77777777" w:rsidR="0035799F" w:rsidRDefault="0035799F">
      <w:pPr>
        <w:pStyle w:val="a3"/>
      </w:pPr>
      <w:r>
        <w:lastRenderedPageBreak/>
        <w:t xml:space="preserve">　　「下如揖，如作揖，兩手作揖，下到膝蓋，上到眉尖。」作揖就是作禮，像在我們佛門講問訊一樣。</w:t>
      </w:r>
      <w:r>
        <w:t xml:space="preserve"> </w:t>
      </w:r>
    </w:p>
    <w:p w14:paraId="1AAF9F8C" w14:textId="77777777" w:rsidR="0035799F" w:rsidRDefault="0035799F">
      <w:pPr>
        <w:pStyle w:val="a3"/>
      </w:pPr>
      <w:r>
        <w:t xml:space="preserve">　　「下如授，接過來如才接時的恭敬」，接過來就如同剛才才接到的時候那樣的恭敬。</w:t>
      </w:r>
      <w:r>
        <w:t xml:space="preserve"> </w:t>
      </w:r>
    </w:p>
    <w:p w14:paraId="5E886D23" w14:textId="77777777" w:rsidR="0035799F" w:rsidRDefault="0035799F">
      <w:pPr>
        <w:pStyle w:val="a3"/>
      </w:pPr>
      <w:r>
        <w:t xml:space="preserve">　　「勃如戰色，不能嬉笑，見到長輩、長官不能笑，有見總統，而嬉皮笑臉的嗎？見到朋友可以笑。」</w:t>
      </w:r>
      <w:r>
        <w:t xml:space="preserve"> </w:t>
      </w:r>
    </w:p>
    <w:p w14:paraId="32CFC928" w14:textId="77777777" w:rsidR="0035799F" w:rsidRDefault="0035799F">
      <w:pPr>
        <w:pStyle w:val="a3"/>
      </w:pPr>
      <w:r>
        <w:t xml:space="preserve">　　『足蹜蹜如有循。』「足蹜蹜如有循，蹜蹜，不走大步，沒有抬腳跟，如有循，好像有一定的道路可以依循。孔子凡事都是慎重辦理。」</w:t>
      </w:r>
      <w:r>
        <w:t xml:space="preserve"> </w:t>
      </w:r>
    </w:p>
    <w:p w14:paraId="6864DD85" w14:textId="77777777" w:rsidR="0035799F" w:rsidRDefault="0035799F">
      <w:pPr>
        <w:pStyle w:val="a3"/>
      </w:pPr>
      <w:r>
        <w:t xml:space="preserve">　　「長者賜，晚輩要仰而親之；拜佛也要如此。長者俯而授之，若兩眼望著青天，可以嗎？」這是長輩賜給晚輩，晚輩要抬頭看長輩。拜佛也是這樣。長輩要把禮物給晚輩，要往下看，不能兩眼看天上。「《史記．孔子世家》說：諸生以時習禮其家。曲阜孔廟演禮，一個月中有數次，這樣才會熟。今日，還有人演禮嗎？清代的知縣百里侯必得到京城覲見天子，行禮走路等等，一切都要練的多久才會熟，絲毫不能錯。」這是古代的禮節。</w:t>
      </w:r>
      <w:r>
        <w:t xml:space="preserve"> </w:t>
      </w:r>
    </w:p>
    <w:p w14:paraId="009316EE" w14:textId="77777777" w:rsidR="0035799F" w:rsidRDefault="0035799F">
      <w:pPr>
        <w:pStyle w:val="a3"/>
      </w:pPr>
      <w:r>
        <w:t xml:space="preserve">　　『享禮有容色。』「享禮有容色，這是替國家送禮，不是私人送的，必須莊嚴，而且有一定限度，不能亂送。國家送的禮，多為玉帛之類，《集解》說：有庭實，在大庭都擺滿禮物，比喻送的禮很多。」</w:t>
      </w:r>
      <w:r>
        <w:t xml:space="preserve"> </w:t>
      </w:r>
    </w:p>
    <w:p w14:paraId="25E3533F" w14:textId="77777777" w:rsidR="0035799F" w:rsidRDefault="0035799F">
      <w:pPr>
        <w:pStyle w:val="a3"/>
      </w:pPr>
      <w:r>
        <w:t xml:space="preserve">　　『私覿，愉愉如也。』「再過去，才是私覿，私下見面。有國君與國君私下的見面，有使臣受君命與對方國君見面，也有受君命與使臣見面。」這個就是私覿，私下見面。</w:t>
      </w:r>
      <w:r>
        <w:t xml:space="preserve"> </w:t>
      </w:r>
    </w:p>
    <w:p w14:paraId="1CFD66DD" w14:textId="77777777" w:rsidR="0035799F" w:rsidRDefault="0035799F">
      <w:pPr>
        <w:pStyle w:val="a3"/>
      </w:pPr>
      <w:r>
        <w:t xml:space="preserve">　　「愉愉如也，私下見面就很自然。」這就場合不一樣，情況也不同。</w:t>
      </w:r>
      <w:r>
        <w:t xml:space="preserve"> </w:t>
      </w:r>
    </w:p>
    <w:p w14:paraId="405FFC7F" w14:textId="77777777" w:rsidR="0035799F" w:rsidRDefault="0035799F">
      <w:pPr>
        <w:pStyle w:val="a3"/>
      </w:pPr>
      <w:r>
        <w:t xml:space="preserve">　　「你們要以此類推，例如在婚喪嫁娶，賓客滿堂時，一舉一動，都必須有規矩。」喜事、喪事，賓客很多，一舉一動必須有規矩。「若沒有禮，於主於客，都有失禮之處。例如在婚禮上說詼諧的話，在喪禮上高談闊論，這是不可以的」，在這種場合就不能這樣。「孔子食於有喪之側，未嘗飽也，人應當有同情心。」鄰居有人過世辦喪事，孔子吃飯的時候，他也從來沒有吃飽，因為有同情心，也有哀傷之心。「大庭廣眾之下，不可失禮，要更有禮。講古書，行今事，這很要緊！」這是講古代的書，我們要懂得它的原則、它的精神，在我們現在這些場合，要怎麼來運用這個禮。所以這個禮非常重要，我們要懂得講古書，行今事。講解古代的經書，用在今日這些生活上的事情，這就很要緊了。</w:t>
      </w:r>
      <w:r>
        <w:t xml:space="preserve"> </w:t>
      </w:r>
    </w:p>
    <w:p w14:paraId="3D666BEA" w14:textId="77777777" w:rsidR="0035799F" w:rsidRDefault="0035799F">
      <w:pPr>
        <w:pStyle w:val="a3"/>
      </w:pPr>
      <w:r>
        <w:t xml:space="preserve">　　好，這章書我們就學習到這裡。祝大家福慧增長，法喜充滿。阿彌陀佛！　　</w:t>
      </w:r>
    </w:p>
    <w:sectPr w:rsidR="003579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9FCB" w14:textId="77777777" w:rsidR="0035799F" w:rsidRDefault="0035799F" w:rsidP="00185875">
      <w:r>
        <w:separator/>
      </w:r>
    </w:p>
  </w:endnote>
  <w:endnote w:type="continuationSeparator" w:id="0">
    <w:p w14:paraId="62AE0AAA" w14:textId="77777777" w:rsidR="0035799F" w:rsidRDefault="0035799F" w:rsidP="0018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40D4C" w14:textId="77777777" w:rsidR="0035799F" w:rsidRDefault="0035799F" w:rsidP="00185875">
      <w:r>
        <w:separator/>
      </w:r>
    </w:p>
  </w:footnote>
  <w:footnote w:type="continuationSeparator" w:id="0">
    <w:p w14:paraId="6E8B96E6" w14:textId="77777777" w:rsidR="0035799F" w:rsidRDefault="0035799F" w:rsidP="00185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75"/>
    <w:rsid w:val="00185875"/>
    <w:rsid w:val="003579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DD9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8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8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8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8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