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7A13" w14:textId="77777777" w:rsidR="00C40846" w:rsidRDefault="00C40846">
      <w:r>
        <w:t xml:space="preserve">每日論語　　悟道法師主講　　（第二六七集）　　</w:t>
      </w:r>
      <w:r>
        <w:t>2019/8/16</w:t>
      </w:r>
      <w:r>
        <w:t xml:space="preserve">　　台灣　　檔名：</w:t>
      </w:r>
      <w:r>
        <w:t xml:space="preserve">WD20-037-0267 </w:t>
      </w:r>
    </w:p>
    <w:p w14:paraId="20A6020C" w14:textId="77777777" w:rsidR="00C40846" w:rsidRDefault="00C40846">
      <w:pPr>
        <w:pStyle w:val="a3"/>
      </w:pPr>
      <w:r>
        <w:t xml:space="preserve">　　諸位同學，大家早上好！我們繼續來學習雪廬老人的《論語講記》，〈鄉黨篇〉第八章第三段。</w:t>
      </w:r>
      <w:r>
        <w:t xml:space="preserve"> </w:t>
      </w:r>
    </w:p>
    <w:p w14:paraId="1BA9435B" w14:textId="77777777" w:rsidR="00C40846" w:rsidRDefault="00C40846">
      <w:pPr>
        <w:pStyle w:val="a3"/>
      </w:pPr>
      <w:r>
        <w:t xml:space="preserve">　　『割不正不食』，「《論語》上面的幾篇多是孔子與諸弟子的對答，有因有果，可以揣測。〈鄉黨〉這一篇沒人問，都是孔子的日常生活動作，對答的人雖然不懂孔子的話，但是能聽對的話也能知道個大概。歷代注解互相爭議，注解眾說紛紜，不可聽一家之辭。若有二家注解，又須會當判官，但是能判斷的是清官還是昏官？誰能像子路的片言折獄？縱使有人說對了，但是誰是證自證分？」這句經文，雪廬老人也是在給我們說明，〈鄉黨〉這一篇經書，都是記載孔子日常生活的起居、動作，歷代注解也有很多不同的看法。我們自己能不能判斷？能不能像子路片言折獄？縱使有人說對了，但是誰能夠來證明？這個引用佛法唯識，證自證分這個術語名詞來給我們講，縱使有人說的他是說對了，但是誰來給證明</w:t>
      </w:r>
      <w:r>
        <w:t>?</w:t>
      </w:r>
      <w:r>
        <w:t>這是雪廬老人在這一句經文，這段來給我們一個解釋。</w:t>
      </w:r>
      <w:r>
        <w:t xml:space="preserve"> </w:t>
      </w:r>
    </w:p>
    <w:p w14:paraId="4789A7FD" w14:textId="77777777" w:rsidR="00C40846" w:rsidRDefault="00C40846">
      <w:pPr>
        <w:pStyle w:val="a3"/>
      </w:pPr>
      <w:r>
        <w:t xml:space="preserve">　　下面講，「天下將興，必有禎祥，天下將亡，必有妖孽」，這是自古以來，古今中外這個沒有例外的，都一樣的。天下要興旺必定有禎祥，有祥瑞的徵兆；天下將亡，天下要滅亡、災難了，必定妖孽就出來，奇奇怪怪的事情都不斷出現。「因為眾生沒有福報的緣故，若有福，妖便少。」這句話都是根據佛經來講的，眾生沒福報，特別現在末法時期，眾生的福愈來愈薄，可以說沒有福報，沒有福報也會障礙他的智慧。俗話講「福至心靈」，有福報他心就靈光了。若有福報，妖便少，妖魔鬼怪就少了。現在末法時期，妖魔鬼怪為什麼那麼多，而且很昌盛？因為眾生沒福報、沒智慧，聽騙不聽勸，騙他的他相信，勸他的他不相信、不接受。因此妖怪就興旺了，正法就少了。</w:t>
      </w:r>
      <w:r>
        <w:t xml:space="preserve"> </w:t>
      </w:r>
    </w:p>
    <w:p w14:paraId="06FE7C04" w14:textId="77777777" w:rsidR="00C40846" w:rsidRDefault="00C40846">
      <w:pPr>
        <w:pStyle w:val="a3"/>
      </w:pPr>
      <w:r>
        <w:t xml:space="preserve">　　下面給我們講學佛的人，「學佛無福，就只聽波旬而不聽佛的」，這是舉出我們學佛人如果沒有福報，正法他聽不進去，他聽了就排斥不接受，他就只要聽波旬魔王那些魔講的，妖魔鬼怪講的，不聽佛的，聽魔的。這是學佛無福，沒有福報，聽波旬的，不聽佛的，就誤入歧途了。「三武滅法並不是三武」，這舉出我們中國歷史的三位皇帝，這三位皇帝都有個武，有三個朝代，那個時候有滅佛法。但是當時滅佛法並不是這三位皇帝，只是說發生在他那個時代。「這必須學問到了才曉得」，這個的確雪廬老人此地給我們講，我們才知道。如果我們沒有聽到他講，必須自己學問到了才知道，三武滅法並不是三武，主要不是這三位皇帝，是發生在這三位皇帝那個時候。「孔子六十而耳順，一聽便明白了，果真明白，一聽就知道其中的錯處。」這就是智慧，一聽就知道對不對，錯，錯在哪裡。「不可不讀書，可是讀了又添許多擾亂，你們自己分不出來，這是讀書的難處。」書不可以不讀，可是讀了要怎麼讀？要怎麼選擇？有時候讀了很多書，又添加很多困擾，自己沒有能力去分辨，這也是讀書它困難的地方。因此我們找善知識就非常重要了，雪廬老人就是我們的善知識。</w:t>
      </w:r>
      <w:r>
        <w:t xml:space="preserve"> </w:t>
      </w:r>
    </w:p>
    <w:p w14:paraId="6BE85687" w14:textId="77777777" w:rsidR="00C40846" w:rsidRDefault="00C40846">
      <w:pPr>
        <w:pStyle w:val="a3"/>
      </w:pPr>
      <w:r>
        <w:t xml:space="preserve">　　「〈鄉黨〉這一篇不講也可以，因為飲食起居古今都有不同，現今用不上。」雪廬老人講，〈鄉黨〉這一篇不講也可以，因為飲食、起居古代跟現代都不同，現在知道了也用不上。「但是不講又不行，因為聖人即使是一句都能舉一反三，否則記他的生活有什麼用？」這是又講出來，不講又不行，因為聖人他每句話都能夠舉一反三，</w:t>
      </w:r>
      <w:r>
        <w:lastRenderedPageBreak/>
        <w:t>否則記載他的生活要做什麼</w:t>
      </w:r>
      <w:r>
        <w:t>?</w:t>
      </w:r>
      <w:r>
        <w:t>所以這個還是得講。「記的人難道不知道，周代以後必定會改變制度嗎？吾尚且知道將來一定變，何況是他們！」這個記錄《論語》的人，他肯定也知道周代以後必定也會改變制度。雪廬老人說，他都知道將來一定會變，何況這些古聖先賢！他們肯定都知道的。知道會變，又把孔子的飲食、起居生活、動作記錄下來，當然有它的作用。</w:t>
      </w:r>
      <w:r>
        <w:t xml:space="preserve"> </w:t>
      </w:r>
    </w:p>
    <w:p w14:paraId="4B4C7845" w14:textId="77777777" w:rsidR="00C40846" w:rsidRDefault="00C40846">
      <w:pPr>
        <w:pStyle w:val="a3"/>
      </w:pPr>
      <w:r>
        <w:t xml:space="preserve">　　「而且孔子曾經明確的說，夏禮、殷禮孔子都能說得出來，不說的原因，是因為夏商他們的後人都不知、不信的緣故。三代尚且都有變化，殷因於夏禮，周因於殷禮，孔子只研究《周禮》就可以了，何必要研究三代的禮？有學問的人就用得著，沒學問的人便用不著。」這是舉出孔子，夏商周三代，孔子那個時候是周朝末年，周上去是商殷，殷禮不一樣，殷再上去是夏禮。孔子他懂得夏朝的禮、殷朝的禮，但是不說，不說的原因，因為夏商他們的後人都不知道，也不信，所以他就不說了。只是三代那個時候，時間都不是距離很長，都有變化，殷的禮它是根據夏禮演變來的，周的禮因商殷的禮演變下來。孔子他只要研究《周禮》就可以了，因為他是周朝末年那個時代的人，何必要去研究三代的禮？就是用不著了。但是有學問的人他就用得著，沒學問的人他便用不著。</w:t>
      </w:r>
      <w:r>
        <w:t xml:space="preserve"> </w:t>
      </w:r>
    </w:p>
    <w:p w14:paraId="4FAED964" w14:textId="77777777" w:rsidR="00C40846" w:rsidRDefault="00C40846">
      <w:pPr>
        <w:pStyle w:val="a3"/>
      </w:pPr>
      <w:r>
        <w:t xml:space="preserve">　　「你們風雨無阻，冷熱不辭的來聽講，吾講得也不輕鬆。吾辭掉各學校的課，但是也不輕快，比以前預備負擔更重，又沒有錢領，吾是為什麼？仍然是為了大家的身命、慧命緣故。你們辛苦來聽，甚至有人還調職遷居」，把職務調到台中，家也搬到台中，為的就是聽雪廬老人講《論語》。「吾若不用心，良心如何安？」雪廬老人講，「拼命也必須幹，而且依佛家說，命，永遠也沒有死的。你們聽了以後必須念，到時不知何時就會忽然用到，別人不知道而已。」聽了之後也必須要念，到時候說不定什麼時忽然就用到了，只是別人不知道。</w:t>
      </w:r>
      <w:r>
        <w:t xml:space="preserve"> </w:t>
      </w:r>
    </w:p>
    <w:p w14:paraId="01D6A181" w14:textId="77777777" w:rsidR="00C40846" w:rsidRDefault="00C40846">
      <w:pPr>
        <w:pStyle w:val="a3"/>
      </w:pPr>
      <w:r>
        <w:t xml:space="preserve">　　「割不正不食，不得其醬不食，這一段的說法就有若干種錯誤」，這舉出古注，舉出宋朝，「朱注的錯最大。朱子注說，肉切不正不食，其實割與切不同。漢儒不可輕視，佛經祖師的注解也是依著《說文》、《爾雅》，都有來歷。昔日吾皈依印祖時」，皈依印光祖師的時候，「心中以為佛學是不如祖師」，雪廬老人覺得自己的佛學不如印光祖師。但是文學或許可以跟印光祖師比一比，「這幾年印祖《文鈔》看了幾次，才知道印祖的文學真好。現今為預備靈山寺佛七、慎齋堂開示，吾已說了三十年，同流合污的發言吾不說，吾說的是真話，對就說對，不對就說不對，吾又遭謗。你們有護法的熱心，但是能力不足，吾一人獨木難支，我一人也難護法。」</w:t>
      </w:r>
      <w:r>
        <w:t xml:space="preserve"> </w:t>
      </w:r>
    </w:p>
    <w:p w14:paraId="21FE92FA" w14:textId="77777777" w:rsidR="00C40846" w:rsidRDefault="00C40846">
      <w:pPr>
        <w:pStyle w:val="a3"/>
      </w:pPr>
      <w:r>
        <w:t xml:space="preserve">　　「吾懂烹飪」，雪廬老人講他懂得煮菜、做菜。「割肉與切肉不能做同一種解釋，宰相所以稱為宰，因為宰相的責任就像調和鼎鼐，要調和天下事，必得有大學問」，所以稱為宰。「臨殺曰割，孔子說：割雞焉用牛刀，割是殺。《莊子》的庖丁解牛，解便是割，姜太公、陳平治天下都是割。切是放上案板切」，放在板子上切，「例如爆炒腰穗這是切的刀法。」給我們說明這兩個字意思不一樣，那個割跟切，割肉跟切肉不一樣，割是殺，切是放在板子上面這樣切的，像切菜一樣。</w:t>
      </w:r>
      <w:r>
        <w:t xml:space="preserve"> </w:t>
      </w:r>
    </w:p>
    <w:p w14:paraId="3E5954BE" w14:textId="77777777" w:rsidR="00C40846" w:rsidRDefault="00C40846">
      <w:pPr>
        <w:pStyle w:val="a3"/>
      </w:pPr>
      <w:r>
        <w:t xml:space="preserve">　　「孔子若切不正不食」，切的飲食若不正他就不吃了，這樣看起來，「那孔子的脾氣不小。唐以前古注《皇疏》引江熙云：殺不以道，為不正也。」唐朝以前的古注解，《皇疏》引用江熙的解釋說，殺不以道，為不正。就是殺動物不仁道這個叫不正。「何謂殺不以道？」什麼叫殺不以道？「例如玉箸羹，用火棒插進牛乳，把乳汁</w:t>
      </w:r>
      <w:r>
        <w:lastRenderedPageBreak/>
        <w:t>抽出來」，古時候有這種吃法，牛活生生的，用火棒燒烤得紅紅的插進牛乳，把那個牛的乳汁活生生抽出來，這叫玉箸羹，很殘忍的。「又如廣東的吃猴腦」，猴子腦蓋打開，猴子活蹦活跳的，這樣把那個腦挖出來吃。還有「山東的燙活驢」，驢子活活的用開水燙，還有「鴨掌等等，這些都是殺不以其道。」太殘忍了，這叫做不正，叫割不正不食，孔子不吃這些。「孔子那時候如何我們不知道，像以上這幾道菜就不吃，現今還有合吃活蝦，也不能吃。」現在很多吃活的，還有什麼活魚三吃，魚還活著，還在跳，那就在吃了。「最殘忍就是人，辦好事、壞事都是人」，所以人是最殘忍的，能辦好事，辦壞事也都是人。</w:t>
      </w:r>
      <w:r>
        <w:t xml:space="preserve"> </w:t>
      </w:r>
    </w:p>
    <w:p w14:paraId="0414D84A" w14:textId="77777777" w:rsidR="00C40846" w:rsidRDefault="00C40846">
      <w:pPr>
        <w:pStyle w:val="a3"/>
      </w:pPr>
      <w:r>
        <w:t xml:space="preserve">　　「祭祀時，解牛多少刀都有一定，還有不能解的地處，例如豬蹄不潔，不能放上俎豆，割心、肺某處時不能連帶，這是割不正不食。」割得不正就不吃了。</w:t>
      </w:r>
      <w:r>
        <w:t xml:space="preserve"> </w:t>
      </w:r>
    </w:p>
    <w:p w14:paraId="2EBA4B80" w14:textId="77777777" w:rsidR="00C40846" w:rsidRDefault="00C40846">
      <w:pPr>
        <w:pStyle w:val="a3"/>
      </w:pPr>
      <w:r>
        <w:t xml:space="preserve">　　『不得其醬不食。』「不得其醬不食，沒有醬的味道，菜便不調和，從前宴席上先上一碟醬油，一碟醋，不論你要不要。從前講醬，指醬油，其實醬有很多種，有甜麵醬、花生醬等，究竟是哪一種醬？這裡不必考證，不必注解，知道這個話就可以了。今日的醬有很多，也有人不吃，也沒有關係。」這雪廬老人講今天的醬就更多了，也有人不吃這些醬，那也沒有關係，不一定要吃醬。但是現在的醬油也有化學的、也有天然的，化學的就不能吃了，所以最好要去買有機醬油，不然吃了對身體都是傷害，不好。</w:t>
      </w:r>
      <w:r>
        <w:t xml:space="preserve"> </w:t>
      </w:r>
    </w:p>
    <w:p w14:paraId="3BEF4551" w14:textId="77777777" w:rsidR="00C40846" w:rsidRDefault="00C40846">
      <w:pPr>
        <w:pStyle w:val="a3"/>
      </w:pPr>
      <w:r>
        <w:t xml:space="preserve">　　好，我們今天先學習到這一段，下面「肉雖多，不使勝食氣」，我們留在下次再來學習。祝大家福慧增長，法喜充滿。阿彌陀佛！　　</w:t>
      </w:r>
    </w:p>
    <w:sectPr w:rsidR="00C408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7A6D" w14:textId="77777777" w:rsidR="00C40846" w:rsidRDefault="00C40846" w:rsidP="00313F8A">
      <w:r>
        <w:separator/>
      </w:r>
    </w:p>
  </w:endnote>
  <w:endnote w:type="continuationSeparator" w:id="0">
    <w:p w14:paraId="67F75A98" w14:textId="77777777" w:rsidR="00C40846" w:rsidRDefault="00C40846" w:rsidP="00313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D0920" w14:textId="77777777" w:rsidR="00C40846" w:rsidRDefault="00C40846" w:rsidP="00313F8A">
      <w:r>
        <w:separator/>
      </w:r>
    </w:p>
  </w:footnote>
  <w:footnote w:type="continuationSeparator" w:id="0">
    <w:p w14:paraId="1DA1402F" w14:textId="77777777" w:rsidR="00C40846" w:rsidRDefault="00C40846" w:rsidP="00313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8A"/>
    <w:rsid w:val="00313F8A"/>
    <w:rsid w:val="007931EE"/>
    <w:rsid w:val="00C4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0A0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