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D628B" w14:textId="77777777" w:rsidR="002C3B65" w:rsidRDefault="002C3B65">
      <w:r>
        <w:t xml:space="preserve">每日論語　　悟道法師主講　　（第二八六集）　　</w:t>
      </w:r>
      <w:r>
        <w:t>2019/9/4</w:t>
      </w:r>
      <w:r>
        <w:t xml:space="preserve">　　英國　　檔名：</w:t>
      </w:r>
      <w:r>
        <w:t xml:space="preserve">WD20-037-0286 </w:t>
      </w:r>
    </w:p>
    <w:p w14:paraId="1E9A591F" w14:textId="77777777" w:rsidR="002C3B65" w:rsidRDefault="002C3B65">
      <w:pPr>
        <w:pStyle w:val="a3"/>
      </w:pPr>
      <w:r>
        <w:t xml:space="preserve">　　諸位同學，大家早上好！我們繼續來學習雪廬老人的《論語講記》，〈先進篇〉第八章。</w:t>
      </w:r>
      <w:r>
        <w:t xml:space="preserve"> </w:t>
      </w:r>
    </w:p>
    <w:p w14:paraId="2259BFF2" w14:textId="77777777" w:rsidR="002C3B65" w:rsidRDefault="002C3B65">
      <w:pPr>
        <w:pStyle w:val="a3"/>
      </w:pPr>
      <w:r>
        <w:t xml:space="preserve">　　【顏淵死。顏路請子之車以為之槨。子曰。才不才。亦各言其子也。鯉也死。有棺而無槨。吾不徒行以為之槨。以吾從大夫之後，不可徒行也。】</w:t>
      </w:r>
      <w:r>
        <w:t xml:space="preserve"> </w:t>
      </w:r>
    </w:p>
    <w:p w14:paraId="68257DE7" w14:textId="77777777" w:rsidR="002C3B65" w:rsidRDefault="002C3B65">
      <w:pPr>
        <w:pStyle w:val="a3"/>
      </w:pPr>
      <w:r>
        <w:t xml:space="preserve">　　『顏淵死，顏路請子之車以為之槨。』「前清時，有錢有地位的人死後，用的棺」，就是棺材，「有棺有槨」。「槨俗名套棺、外棺。」槨，棺材外面再套一個套棺，外面那個套棺叫槨，外棺。「棺槨多少厚度，都有一定的規矩。從前人說：朱門雖富不如貧，朱門必定是做官之家，人民三間房，官可以有五間，皇帝宮殿才可以有九間。琉璃瓦，也只有皇帝宮殿可以用，如今則一切自由。從沒有人稱王的，現今的連賣豆漿也叫大王。顏淵死，家窮，顏淵父親顏路請借孔子的車來作槨。《注解》作賣車以買槨。」《注解》是這樣解釋，請孔子賣車，借它來買槨。</w:t>
      </w:r>
      <w:r>
        <w:t xml:space="preserve"> </w:t>
      </w:r>
    </w:p>
    <w:p w14:paraId="015C02B4" w14:textId="77777777" w:rsidR="002C3B65" w:rsidRDefault="002C3B65">
      <w:pPr>
        <w:pStyle w:val="a3"/>
      </w:pPr>
      <w:r>
        <w:t xml:space="preserve">　　『子曰：才不才亦各言其子也。鯉也死，有棺而無槨。』「孔子說，才，有才幹；不才，沒才幹。」有才幹，沒才幹，「亦各言其子也，說各人的兒子」。自己兒子，有的兒子有才幹，有的兒子沒有才幹，說各人的兒子。「顏路的兒子為顏淵，孔子的兒子為孔鯉。」「才是說你的兒子顏淵」，就是說你兒子顏淵有才，有才幹，「不才是指我的兒子」，孔子指他自己兒子孔鯉沒才幹，「兩人雖有才不才的差別，哪有父親不愛惜自己的兒子的道理？」做父親的人總是愛惜自己的兒子，不管才不才，都是愛惜自己的兒子。「但是孔鯉死時是有棺而無槨」，孔子的兒子比孔子早死，他的兒子死了，埋葬的時候只有棺材，沒有槨，沒有套棺。「你的兒子好，有棺有槨，我的兒子雖不好，能夠有棺無槨嗎？」說你的兒子很好，很有才幹，死了，埋葬有棺有槨。我的兒子雖然不好，能夠有棺無槨嗎？「你要借我的車，我沒有車不能徒行，什麼緣故呢？」就是說現在不能沒有車。</w:t>
      </w:r>
      <w:r>
        <w:t xml:space="preserve"> </w:t>
      </w:r>
    </w:p>
    <w:p w14:paraId="41E06990" w14:textId="77777777" w:rsidR="002C3B65" w:rsidRDefault="002C3B65">
      <w:pPr>
        <w:pStyle w:val="a3"/>
      </w:pPr>
      <w:r>
        <w:t xml:space="preserve">　　『吾不徒行以為之槨，以吾從大夫之後不可徒行也。』「以吾從大夫之後，孔子這時六十餘歲，實在的年代也很難考證明白。此時孔子不當大夫，孔子當魯司寇後才在陳絕糧，顏子死在陳絕糧之後，那時孔子已經不做官了，所以不能說吾當大夫不能不坐車。」就是不能這樣講，因為顏子死的時候，孔子已經沒有做官了。</w:t>
      </w:r>
      <w:r>
        <w:t xml:space="preserve"> </w:t>
      </w:r>
    </w:p>
    <w:p w14:paraId="593E9FAA" w14:textId="77777777" w:rsidR="002C3B65" w:rsidRDefault="002C3B65">
      <w:pPr>
        <w:pStyle w:val="a3"/>
      </w:pPr>
      <w:r>
        <w:t xml:space="preserve">　　「為大夫後，蓋從者隨也，從也當隨從講，例如從政，就是辦政治。孔子雖然不做官了，仍是魯國元老，國家有事，魯君會請孔子去商量，故從與為政迥然有別。隨從大夫若解作做大夫就大謬了。」這個地方，就是從與為政是完全不同的，所以這裡講隨，蓋從隨者，隨從如果把它解釋作我做大夫不能不坐車，這樣就大錯了。「現今的人不認字，由此可知。」現在的人不認識字，所以會把這個，就字的字義也會解釋錯誤。「若遇到張獻忠或許不會如此，張獻忠看見大夫針灸若不對穴道，就殺人。所以凡事，不可一概而論。」</w:t>
      </w:r>
      <w:r>
        <w:t xml:space="preserve"> </w:t>
      </w:r>
    </w:p>
    <w:p w14:paraId="528026B5" w14:textId="77777777" w:rsidR="002C3B65" w:rsidRDefault="002C3B65">
      <w:pPr>
        <w:pStyle w:val="a3"/>
      </w:pPr>
      <w:r>
        <w:t xml:space="preserve">　　「請車為槨，《注解》說是賣車以買槨，考證《論語稽》舉出八種不合理，解釋說：槨非棺槨之槨，此說可以存疑。」這個考證《論語稽》舉出八種不合理，就是說，《注解》說賣車來買槨（買棺槨）。在《論語》考證《論語稽》這個書舉出八種</w:t>
      </w:r>
      <w:r>
        <w:lastRenderedPageBreak/>
        <w:t>不合理的說法，說這樣講是，不能這樣講，舉出八種理由。所以在考證《論語稽》解釋說槨非棺槨之槨，它解釋不是指棺槨之槨。此說可以存疑，雪廬老人說這個說法我們可以存疑，持保留態度，不肯定也不否定。「如送禮，諸侯送犢，卿大夫送雁，士送雉。」</w:t>
      </w:r>
      <w:r>
        <w:t xml:space="preserve"> </w:t>
      </w:r>
    </w:p>
    <w:p w14:paraId="1959C174" w14:textId="77777777" w:rsidR="002C3B65" w:rsidRDefault="002C3B65">
      <w:pPr>
        <w:pStyle w:val="a3"/>
      </w:pPr>
      <w:r>
        <w:t xml:space="preserve">　　好，這章書我們就學習到這裡。祝大家福慧增長，法喜充滿。阿彌陀佛！　　</w:t>
      </w:r>
    </w:p>
    <w:sectPr w:rsidR="002C3B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CF090" w14:textId="77777777" w:rsidR="002C3B65" w:rsidRDefault="002C3B65" w:rsidP="007F21B8">
      <w:r>
        <w:separator/>
      </w:r>
    </w:p>
  </w:endnote>
  <w:endnote w:type="continuationSeparator" w:id="0">
    <w:p w14:paraId="67ADFE75" w14:textId="77777777" w:rsidR="002C3B65" w:rsidRDefault="002C3B65" w:rsidP="007F2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4965F" w14:textId="77777777" w:rsidR="002C3B65" w:rsidRDefault="002C3B65" w:rsidP="007F21B8">
      <w:r>
        <w:separator/>
      </w:r>
    </w:p>
  </w:footnote>
  <w:footnote w:type="continuationSeparator" w:id="0">
    <w:p w14:paraId="20C4A8AC" w14:textId="77777777" w:rsidR="002C3B65" w:rsidRDefault="002C3B65" w:rsidP="007F21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1B8"/>
    <w:rsid w:val="002C3B65"/>
    <w:rsid w:val="007931EE"/>
    <w:rsid w:val="007F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5B546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21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21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21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21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