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C27B" w14:textId="77777777" w:rsidR="00D32B6F" w:rsidRDefault="00D32B6F">
      <w:r>
        <w:t xml:space="preserve">每日論語　　悟道法師主講　　（第二九五集）　　</w:t>
      </w:r>
      <w:r>
        <w:t>2019/9/13</w:t>
      </w:r>
      <w:r>
        <w:t xml:space="preserve">　　台灣　　檔名：</w:t>
      </w:r>
      <w:r>
        <w:t xml:space="preserve">WD20-037-0295 </w:t>
      </w:r>
    </w:p>
    <w:p w14:paraId="665DB4E2" w14:textId="77777777" w:rsidR="00D32B6F" w:rsidRDefault="00D32B6F">
      <w:pPr>
        <w:pStyle w:val="a3"/>
      </w:pPr>
      <w:r>
        <w:t xml:space="preserve">　　諸位同學，大家早上好！我們繼續來學習雪廬老人的《論語講記》，〈先進篇〉第十七章。</w:t>
      </w:r>
      <w:r>
        <w:t xml:space="preserve"> </w:t>
      </w:r>
    </w:p>
    <w:p w14:paraId="33F137E4" w14:textId="77777777" w:rsidR="00D32B6F" w:rsidRDefault="00D32B6F">
      <w:pPr>
        <w:pStyle w:val="a3"/>
      </w:pPr>
      <w:r>
        <w:t xml:space="preserve">　　【柴也愚。參也魯。師也辟。由也喭。子曰。回也其庶乎。屢空。賜不受命。而貨殖焉。億則屢中。】</w:t>
      </w:r>
      <w:r>
        <w:t xml:space="preserve"> </w:t>
      </w:r>
    </w:p>
    <w:p w14:paraId="47F9EDFC" w14:textId="77777777" w:rsidR="00D32B6F" w:rsidRDefault="00D32B6F">
      <w:pPr>
        <w:pStyle w:val="a3"/>
      </w:pPr>
      <w:r>
        <w:t xml:space="preserve">　　「這一章書，古人合為一章，朱子分為二章」，古人合為一章，朱子把它分為二章。「改經是大毛病，合為一章好講，前半段為引子」，做一個前引、引子。</w:t>
      </w:r>
      <w:r>
        <w:t xml:space="preserve"> </w:t>
      </w:r>
    </w:p>
    <w:p w14:paraId="5A2BB350" w14:textId="77777777" w:rsidR="00D32B6F" w:rsidRDefault="00D32B6F">
      <w:pPr>
        <w:pStyle w:val="a3"/>
      </w:pPr>
      <w:r>
        <w:t xml:space="preserve">　　『柴也愚』，柴是指高柴，「高柴愚。愚，愚直也，古之愚也直，不會轉彎曲折。」比較愚直。「《孔子家語》記載他」，就是記載高柴，說高柴：「方長不折，啟蟄不殺，不踏人影（不履影），毋不敬，但未免呆板。」高柴他很恭敬，人的影子，都不去踩在人的影子，那是不踏人影，是對人的恭敬。啟蟄不殺，這個蟄，在地裡面的蟲他也不殺。就是他的為人不會轉彎曲折，很愚直，這是孔子這個學生他的一個特性。直，但是未免就顯得比較呆板，所以高柴愚，這個學生他是愚、愚直。</w:t>
      </w:r>
      <w:r>
        <w:t xml:space="preserve"> </w:t>
      </w:r>
    </w:p>
    <w:p w14:paraId="598AEAF0" w14:textId="77777777" w:rsidR="00D32B6F" w:rsidRDefault="00D32B6F">
      <w:pPr>
        <w:pStyle w:val="a3"/>
      </w:pPr>
      <w:r>
        <w:t xml:space="preserve">　　『參也魯』，參是指曾子，曾參。「曾子性魯，遲鈍」，這裡魯就是比較遲鈍，「懂孔子之道」，曾子懂得孔子之道。「顏子不違如愚」，顏子是顏回，不違如愚，就是聽到孔子講的立即能領悟，「悟得快」。「若曾子當時聽還不能悟通，但思考後也能了然。」曾子當時聽了還不能悟，還不能通達，但他思考之後也能夠明瞭。這是講曾參（曾子），他的特性是魯，比較遲鈍。</w:t>
      </w:r>
      <w:r>
        <w:t xml:space="preserve"> </w:t>
      </w:r>
    </w:p>
    <w:p w14:paraId="4163E216" w14:textId="77777777" w:rsidR="00D32B6F" w:rsidRDefault="00D32B6F">
      <w:pPr>
        <w:pStyle w:val="a3"/>
      </w:pPr>
      <w:r>
        <w:t xml:space="preserve">　　『師也辟』，子張，師這裡指子張。「子張派頭大，所謂堂堂乎張也，才能過人，可以說他失之僻，但不可說子張文過。《集解》，馬融說：失在邪僻文過。漢儒注解都有出處，吾如今沒有找出來，找出來也不能說，自己沒有這種過錯才能說人的錯。為什麼呢？有諸己，而後求諸人；無諸己，而後非諸人。」這是雪廬老人講，我們自己沒有這種過失，你才能去講人家這個過錯；如果自己也有，那就不可以去講人，就不能講。這是講他的學生子張，他的特性。</w:t>
      </w:r>
      <w:r>
        <w:t xml:space="preserve"> </w:t>
      </w:r>
    </w:p>
    <w:p w14:paraId="2FE54B39" w14:textId="77777777" w:rsidR="00D32B6F" w:rsidRDefault="00D32B6F">
      <w:pPr>
        <w:pStyle w:val="a3"/>
      </w:pPr>
      <w:r>
        <w:t xml:space="preserve">　　『由也喭。』喭就是比較剛強，比較直。「子路剛強，並不是俗，子路不俗」，不俗就是不俗氣，不俗。說他是「粗野還可以說，子路願車馬衣裘與朋友共，俗在何處？」他的車、馬、好的衣服都可以與朋友來共享，他不俗。但是「好剛猛便不行，要威而不猛，老虎就是猛」。威是威德，像孔子威而不猛。「這四位弟子的狀況都不得其中，必須調和。」孔子分析這四個弟子，這四位學生，每個人都有他的一個特性，但是都不是在中道。每一個人都有一些偏差，所以必須要調和，調到適中。</w:t>
      </w:r>
      <w:r>
        <w:t xml:space="preserve"> </w:t>
      </w:r>
    </w:p>
    <w:p w14:paraId="0A838C66" w14:textId="77777777" w:rsidR="00D32B6F" w:rsidRDefault="00D32B6F">
      <w:pPr>
        <w:pStyle w:val="a3"/>
      </w:pPr>
      <w:r>
        <w:t xml:space="preserve">　　『子曰：回也其庶乎，屢空。』「說完四人」，夫子「接著說顏回。顏回其庶乎，庶是差不多，顏回還差不多，差不多什麼？屢空。屢空」，它就是佛法講的心中屢空，就是空了，「自古以來有兩種說法，都講得上來，但採取何者，吾不敢確定」。這個是雪廬老人他提出來他的態度，這個說自古以來有兩種說法，都講得上，但是要採取那一種他也不敢確定。「屢，常常。」屢就是常常是這樣，常常什麼？「空」，心中常常保持一個空；「一種解說是窮，什麼也沒有。顏子簞食瓢飲，樂在</w:t>
      </w:r>
      <w:r>
        <w:lastRenderedPageBreak/>
        <w:t>其中」，他物質生活都沒有，這是一種說法。「孔子比顏淵更高明，孔子卻是空空如也，難道說孔子比他窮嗎？」這是雪廬老人舉出來這種說法，說顏子他物質生活很窮，什麼都沒有。屢空，常常就是空，沒有了。雪廬老人再給我們說明，孔子比顏淵更高明。顏子是屢空，常常空，孔子卻是空空如也。這句也是一個成語，我們常常講什麼都沒有，空空如也。難道說孔子比他窮嗎？如果說物質生活很窮，以這個說法來說這個空，那孔子空也空了，兩個空就是空空如也，跟我們佛法講中道。空有二邊都空了，所以空也空，有也空，空也空，所以就空空如也。如果用物質生活來講，孔子是空空如也，顏子是屢空，那他空又空了，如果用物質生活，難道孔子就比顏回更窮嗎？這個也說不通。「第二種說法，心空，心中什麼也沒有。」</w:t>
      </w:r>
      <w:r>
        <w:t xml:space="preserve"> </w:t>
      </w:r>
    </w:p>
    <w:p w14:paraId="73ADCB7D" w14:textId="77777777" w:rsidR="00D32B6F" w:rsidRDefault="00D32B6F">
      <w:pPr>
        <w:pStyle w:val="a3"/>
      </w:pPr>
      <w:r>
        <w:t xml:space="preserve">　　「以文理說，有屢字，所以採心空好，否則子貢不窮，為什麼說屢中？孔子云：朝聞道，夕死可矣。道很難講，孔子學道是空空如也，連空也空了，因為道就是心，道是真空，心也真空。淨土宗從有門入，禪宗從空入，禪宗人念一句佛，漱口三天，念佛就是有，所以學禪的人要漱口。」念一句佛要刷牙漱口漱三天。「例如丹霞燒佛，又說：無佛處不可坐，有佛處急走過。晨起拜佛，以為好事，卻說：好事不如無。六祖云：不思善，不思惡。本性真空。《心經》云：以無所得故，得阿耨多羅三藐三菩提。實相念佛則入常寂光淨土，寂滅為樂。」這是講真空，以空入。「修淨土宗，功夫不到不能說，從有門入，功夫到時，自然知道，不必說。」這也是講功夫，所以雪廬老人這個開示也非常非常重要。所以我們平常念佛念佛，不知道功夫怎麼用功，所以功夫到就自然知道了。像海賢老和尚講，念佛沒有念到一心不亂不算念。這句話也非常非常重要，很值得我們去留意的。所以淨土宗功夫不到，不能說從有門入，功夫到的時候自然就知道，就不必說。「佛對於韋提希夫人，不現寂光土是有原因的，因為佛的境界，凡夫不知道。」不懂，凡夫不知道佛的境界，所以現常寂光他也就不懂，不能體會。所以現有相的，像凡聖同居土、方便有餘土、實報莊嚴</w:t>
      </w:r>
      <w:r>
        <w:t>土，有這個相的，我們凡夫才懂。「唐明皇一曲，百花齊放等，情與無情，同圓種智。空是真觀，有是假觀，再為中觀」，這是天台宗的空、假、中三觀，三觀實際上一而三，三而一。「這屢空是真空。顏淵不能常空空如也，卻能數空，這與道不遠了。」所以顏淵他能悟道屢空，屢空是真空。顏淵不能像孔子一樣空空如也，卻能數空，常常到了空的境界，這個與道就不遠了。</w:t>
      </w:r>
      <w:r>
        <w:t xml:space="preserve"> </w:t>
      </w:r>
    </w:p>
    <w:p w14:paraId="6D648194" w14:textId="77777777" w:rsidR="00D32B6F" w:rsidRDefault="00D32B6F">
      <w:pPr>
        <w:pStyle w:val="a3"/>
      </w:pPr>
      <w:r>
        <w:t xml:space="preserve">　　『賜不受命，而貨殖焉，億則屢中。』賜就是子貢。「有人說：賜賢於孔子，因為子貢不受天命，天命就是因果（天地間自然之法則），子貢與道差多了，卻能貨殖做生意，做貨殖生意，心就在財貨上面，心就不空。」做生意買賣，那心當然要在生意上，就不空了。「子貢雖不受天命，財貨卻沒有迷住他」，子貢雖然做生意賺錢，但是他「不會財迷心竅」。取得財富還是依照義，合乎道德仁義的他才會去，不會像一般人只要有利就好了，不管義不義，非義之財也去取。所以被迷住了就只是想取利，他沒有義。子貢不會，子貢他不會被這些財貨來迷惑，不會財迷心竅，心都是在道德仁義上。「億」這個字就是我們說一個億兩個億這個億，有個人字旁，一個意思的意，同意思的意、心意的意是一樣，是「心意，心思，心思想法」，他心裡的想法。「對空也接近了，子貢常思想、研究，也能中，合乎道，並不是一門都不入，也入一些，所以說屢中，但比不了顏回。別人想悟不開」，別人去思想、思考，悟不開，「子貢研究就能近道」，他也能夠懂一些。</w:t>
      </w:r>
      <w:r>
        <w:t xml:space="preserve"> </w:t>
      </w:r>
    </w:p>
    <w:p w14:paraId="43CBFEAE" w14:textId="77777777" w:rsidR="00D32B6F" w:rsidRDefault="00D32B6F">
      <w:pPr>
        <w:pStyle w:val="a3"/>
      </w:pPr>
      <w:r>
        <w:t xml:space="preserve">　　「修淨土宗要一心不亂，必須淨念相繼，若只念一、二小時，其餘時間都是妄念，妄想多，如何往生？若不能往生，要怨誰？不如念佛憶佛。若日課五萬、十萬就</w:t>
      </w:r>
      <w:r>
        <w:lastRenderedPageBreak/>
        <w:t>不須憶了，一打妄想就不夠數，白日念十萬聲已經累了，晚上睡覺也不致於有奸盜邪淫等夢想念頭。」這個的確是如此，這是講到我們修淨土宗的、修這個法門的，要念到一心不亂。要念到一心不亂，必須淨念相繼。我們一天二十四小時如果只念一、二小時，其他都是妄念，打妄想比較多，如何往生？這個開示就非常重要。所以我們每一天淨念多還是妄念多，我們念佛人用功就是在這上面。一天念五萬聲佛號、十萬聲佛號就不需要強調說憶佛，去憶了，因為你一打妄想就不夠這個數。白天念十萬聲，實在講睡覺的時間都很少了，已經很累了，也不至於有奸盜邪淫這些妄想念頭。「有一些方便法，不可與外人道。」雪廬老人他有一些我們念佛得力的一個方便法，但是不可以跟外人講，不是他的弟子他就不方便去講，講了別人也不接受，到時候還要批評毀謗，這就很麻煩。所以說不可與外人道，有一些方便法。</w:t>
      </w:r>
      <w:r>
        <w:t xml:space="preserve"> </w:t>
      </w:r>
    </w:p>
    <w:p w14:paraId="03F6330E" w14:textId="77777777" w:rsidR="00D32B6F" w:rsidRDefault="00D32B6F">
      <w:pPr>
        <w:pStyle w:val="a3"/>
      </w:pPr>
      <w:r>
        <w:t xml:space="preserve">　　「下面二章，尤其以後一章，多無定論，從闕可以。」這裡再給我們提示下面二章，尤其以後一章，後面一章多無定論，就是自古以來這些注解沒有一個定論，從闕可以，我們就從闕。雪廬老人也特別給我們提示用這樣的態度來學習，沒有定論我們就從闕，把這個經文念念就可以了。</w:t>
      </w:r>
      <w:r>
        <w:t xml:space="preserve"> </w:t>
      </w:r>
    </w:p>
    <w:p w14:paraId="17114B66" w14:textId="77777777" w:rsidR="00D32B6F" w:rsidRDefault="00D32B6F">
      <w:pPr>
        <w:pStyle w:val="a3"/>
      </w:pPr>
      <w:r>
        <w:t xml:space="preserve">　　好，今天我們就學習到這裡。祝大家福慧增長，法喜充滿。阿彌陀佛！　　</w:t>
      </w:r>
    </w:p>
    <w:sectPr w:rsidR="00D32B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79F9" w14:textId="77777777" w:rsidR="00D32B6F" w:rsidRDefault="00D32B6F" w:rsidP="00617CD2">
      <w:r>
        <w:separator/>
      </w:r>
    </w:p>
  </w:endnote>
  <w:endnote w:type="continuationSeparator" w:id="0">
    <w:p w14:paraId="037A9438" w14:textId="77777777" w:rsidR="00D32B6F" w:rsidRDefault="00D32B6F" w:rsidP="00617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3C95" w14:textId="77777777" w:rsidR="00D32B6F" w:rsidRDefault="00D32B6F" w:rsidP="00617CD2">
      <w:r>
        <w:separator/>
      </w:r>
    </w:p>
  </w:footnote>
  <w:footnote w:type="continuationSeparator" w:id="0">
    <w:p w14:paraId="5CED67A4" w14:textId="77777777" w:rsidR="00D32B6F" w:rsidRDefault="00D32B6F" w:rsidP="00617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D2"/>
    <w:rsid w:val="00617CD2"/>
    <w:rsid w:val="007931EE"/>
    <w:rsid w:val="00D3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5D2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C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C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C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C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