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8E11" w14:textId="77777777" w:rsidR="007F4D64" w:rsidRDefault="007F4D64">
      <w:r>
        <w:t xml:space="preserve">每日論語　　悟道法師主講　　（第二九六集）　　</w:t>
      </w:r>
      <w:r>
        <w:t>2019/9/14</w:t>
      </w:r>
      <w:r>
        <w:t xml:space="preserve">　　台灣　　檔名：</w:t>
      </w:r>
      <w:r>
        <w:t xml:space="preserve">WD20-037-0296 </w:t>
      </w:r>
    </w:p>
    <w:p w14:paraId="7F0E0800" w14:textId="77777777" w:rsidR="007F4D64" w:rsidRDefault="007F4D64">
      <w:pPr>
        <w:pStyle w:val="a3"/>
      </w:pPr>
      <w:r>
        <w:t xml:space="preserve">　　諸位同學，大家早上好！我們繼續來學習雪廬老人的《論語講記》，〈先進篇〉第十八章。</w:t>
      </w:r>
      <w:r>
        <w:t xml:space="preserve"> </w:t>
      </w:r>
    </w:p>
    <w:p w14:paraId="5855E26F" w14:textId="77777777" w:rsidR="007F4D64" w:rsidRDefault="007F4D64">
      <w:pPr>
        <w:pStyle w:val="a3"/>
      </w:pPr>
      <w:r>
        <w:t xml:space="preserve">　　【子張問善人之道。子曰。不跡踐。亦不入於室。】</w:t>
      </w:r>
      <w:r>
        <w:t xml:space="preserve"> </w:t>
      </w:r>
    </w:p>
    <w:p w14:paraId="71DC8EAB" w14:textId="77777777" w:rsidR="007F4D64" w:rsidRDefault="007F4D64">
      <w:pPr>
        <w:pStyle w:val="a3"/>
      </w:pPr>
      <w:r>
        <w:t xml:space="preserve">　　『子張問善人之道』，「子張問善人之道，由善才能入賢入聖，若終日做壞事，希賢希聖做不到。先有善，而後可以入賢入聖。這是問善人之道，希聖希賢，必須從低處問。」這章書第一段，是子張問夫子善人之道，從怎麼做善人這個道問起。儒家的修學就是成聖成賢，雪廬老人講必須從低處問，從修善開始，有了善的基礎，才能希聖希賢，才有希望做到聖賢；如果都是做壞事，希聖希賢就做不到了。所以先有善，然後可以入聖賢之意。</w:t>
      </w:r>
      <w:r>
        <w:t xml:space="preserve"> </w:t>
      </w:r>
    </w:p>
    <w:p w14:paraId="355A27DD" w14:textId="77777777" w:rsidR="007F4D64" w:rsidRDefault="007F4D64">
      <w:pPr>
        <w:pStyle w:val="a3"/>
      </w:pPr>
      <w:r>
        <w:t xml:space="preserve">　　『子曰：不跡踐，亦不入於室。』「不踐跡，跡」就是行跡，「前人的行跡」，賢人走過的軌跡。「踐，踏的意思。前聖前賢有走過的腳印，跟著腳印走」，跟著這個軌跡來走，「不必緊扣著腳印子」，也不必說腳一定踏到那個腳印，按照走過的腳印這條軌跡來走，「只要不離開先聖先賢的軌道就可以了」。「如同前有車，後有軌，不離軌道。」好像我們這個車都有軌道，像火車它有鐵軌，有軌道，依著這個軌道走。「若不依前人軌道走，也不能入於室，不能入聖賢之室」，到最深入的就是室了。「或許可以升堂，但不能入室，學誰就跟誰走。」就是跟哪個老師學習就跟哪個老師走，依照他的軌道，他修學過的軌跡，跟著他走就能夠登堂入室。</w:t>
      </w:r>
      <w:r>
        <w:t xml:space="preserve"> </w:t>
      </w:r>
    </w:p>
    <w:p w14:paraId="5EB818EF" w14:textId="77777777" w:rsidR="007F4D64" w:rsidRDefault="007F4D64">
      <w:pPr>
        <w:pStyle w:val="a3"/>
      </w:pPr>
      <w:r>
        <w:t xml:space="preserve">　　「顏淵是孔步亦步，孔趨亦趨。」顏淵是顏回，他是孔子的學生，可以說最得意的一個學生。顏淵是孔子怎麼走他就怎麼跟，跟隨孔子來學習。</w:t>
      </w:r>
      <w:r>
        <w:t xml:space="preserve"> </w:t>
      </w:r>
    </w:p>
    <w:p w14:paraId="57A165E2" w14:textId="77777777" w:rsidR="007F4D64" w:rsidRDefault="007F4D64">
      <w:pPr>
        <w:pStyle w:val="a3"/>
      </w:pPr>
      <w:r>
        <w:t xml:space="preserve">　　『子曰：論篤是與，君子者乎？色莊者乎？』</w:t>
      </w:r>
      <w:r>
        <w:t xml:space="preserve"> </w:t>
      </w:r>
    </w:p>
    <w:p w14:paraId="65CE7FDE" w14:textId="77777777" w:rsidR="007F4D64" w:rsidRDefault="007F4D64">
      <w:pPr>
        <w:pStyle w:val="a3"/>
      </w:pPr>
      <w:r>
        <w:t xml:space="preserve">　　「這一章有二說」，就是這一章書有兩個說法，古來注解有兩個說法。</w:t>
      </w:r>
      <w:r>
        <w:t xml:space="preserve"> </w:t>
      </w:r>
    </w:p>
    <w:p w14:paraId="3E0C4FA6" w14:textId="77777777" w:rsidR="007F4D64" w:rsidRDefault="007F4D64">
      <w:pPr>
        <w:pStyle w:val="a3"/>
      </w:pPr>
      <w:r>
        <w:t xml:space="preserve">　　「（一）一說合上章為一章」，有一種說法，就是這章書跟上面那章書合起來講。「漢注以為」，漢朝的注解以為：「為何同一章而有子曰，或許不是一時所說，但同一義，所以合為一章」。就是說這章書跟上一章合在一起，為何同一章而有子曰？或許不是一時所說的，不一個時間說的，但同一義，義意是同一個；就是不同時間講，但是意思是同樣的，所以把它合成一章了。合成一章，「意思是：言論很篤實嗎？是君子嗎？或是外表自然表現很莊重嗎？（這是連著上一章，說善人如此，而是論篤嗎？君子嗎？色莊嗎？）」連起來講就是這個意思。</w:t>
      </w:r>
      <w:r>
        <w:t xml:space="preserve"> </w:t>
      </w:r>
    </w:p>
    <w:p w14:paraId="795871A3" w14:textId="77777777" w:rsidR="007F4D64" w:rsidRDefault="007F4D64">
      <w:pPr>
        <w:pStyle w:val="a3"/>
      </w:pPr>
      <w:r>
        <w:t xml:space="preserve">　　第二個說法，「（二）自成一章的說法」，自己成為一章的說法。「言論聽起來很篤實，這樣是君子嗎？或是色莊的外表呢？」這是自成一章，就是成為另一章的說法，這個說法就是言論聽起來很篤實，這樣是君子嗎？或者是色莊的外表？</w:t>
      </w:r>
      <w:r>
        <w:t xml:space="preserve"> </w:t>
      </w:r>
    </w:p>
    <w:p w14:paraId="510C6E5A" w14:textId="77777777" w:rsidR="007F4D64" w:rsidRDefault="007F4D64">
      <w:pPr>
        <w:pStyle w:val="a3"/>
      </w:pPr>
      <w:r>
        <w:t xml:space="preserve">　　這是二種說法，有兩種說法。「但以上二說都闕疑」，以上兩種說法、兩種注解，雪廬老人講都闕疑，就是存疑，是不是這樣？我們持保留態度，這樣就可以了。</w:t>
      </w:r>
      <w:r>
        <w:t xml:space="preserve"> </w:t>
      </w:r>
    </w:p>
    <w:p w14:paraId="64F26183" w14:textId="77777777" w:rsidR="007F4D64" w:rsidRDefault="007F4D64">
      <w:pPr>
        <w:pStyle w:val="a3"/>
      </w:pPr>
      <w:r>
        <w:lastRenderedPageBreak/>
        <w:t xml:space="preserve">　　好，這章書我們就學習到這裡。祝大家福慧增長，法喜充滿。阿彌陀佛！　　</w:t>
      </w:r>
    </w:p>
    <w:sectPr w:rsidR="007F4D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4DEB" w14:textId="77777777" w:rsidR="007F4D64" w:rsidRDefault="007F4D64" w:rsidP="00026F50">
      <w:r>
        <w:separator/>
      </w:r>
    </w:p>
  </w:endnote>
  <w:endnote w:type="continuationSeparator" w:id="0">
    <w:p w14:paraId="3344D6FC" w14:textId="77777777" w:rsidR="007F4D64" w:rsidRDefault="007F4D64" w:rsidP="00026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4C8F4" w14:textId="77777777" w:rsidR="007F4D64" w:rsidRDefault="007F4D64" w:rsidP="00026F50">
      <w:r>
        <w:separator/>
      </w:r>
    </w:p>
  </w:footnote>
  <w:footnote w:type="continuationSeparator" w:id="0">
    <w:p w14:paraId="3981CA4D" w14:textId="77777777" w:rsidR="007F4D64" w:rsidRDefault="007F4D64" w:rsidP="00026F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50"/>
    <w:rsid w:val="00026F50"/>
    <w:rsid w:val="007931EE"/>
    <w:rsid w:val="007F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FD8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6F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6F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6F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6F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