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E9F2" w14:textId="77777777" w:rsidR="0020155F" w:rsidRDefault="0020155F">
      <w:r>
        <w:t xml:space="preserve">每日論語　　悟道法師主講　　（第二九七集）　　</w:t>
      </w:r>
      <w:r>
        <w:t>2019/9/15</w:t>
      </w:r>
      <w:r>
        <w:t xml:space="preserve">　　寧波　　檔名：</w:t>
      </w:r>
      <w:r>
        <w:t xml:space="preserve">WD20-037-0297 </w:t>
      </w:r>
    </w:p>
    <w:p w14:paraId="4A8EB8A3" w14:textId="77777777" w:rsidR="0020155F" w:rsidRDefault="0020155F">
      <w:pPr>
        <w:pStyle w:val="a3"/>
      </w:pPr>
      <w:r>
        <w:t xml:space="preserve">　　諸位同學，大家早上好！我們繼續來學習雪廬老人的《論語講記》，〈先進篇〉第十九章。</w:t>
      </w:r>
      <w:r>
        <w:t xml:space="preserve"> </w:t>
      </w:r>
    </w:p>
    <w:p w14:paraId="604E293E" w14:textId="77777777" w:rsidR="0020155F" w:rsidRDefault="0020155F">
      <w:pPr>
        <w:pStyle w:val="a3"/>
      </w:pPr>
      <w:r>
        <w:t xml:space="preserve">　　【子路問。聞斯行諸。子曰。有父兄在。如之何其聞斯行之。冉有問。聞斯行諸。子曰。聞斯行之。公西華曰。由也問聞斯行諸。子曰。有父兄在。求也問聞斯行諸。子曰。聞斯行之。赤也惑敢問。子曰。求也退。故進之。由也兼人。故退之。】</w:t>
      </w:r>
      <w:r>
        <w:t xml:space="preserve"> </w:t>
      </w:r>
    </w:p>
    <w:p w14:paraId="31911C2C" w14:textId="77777777" w:rsidR="0020155F" w:rsidRDefault="0020155F">
      <w:pPr>
        <w:pStyle w:val="a3"/>
      </w:pPr>
      <w:r>
        <w:t xml:space="preserve">　　這一章書，學生問孔子同一個問題，孔子回答不一樣。</w:t>
      </w:r>
      <w:r>
        <w:t xml:space="preserve"> </w:t>
      </w:r>
    </w:p>
    <w:p w14:paraId="26F28600" w14:textId="77777777" w:rsidR="0020155F" w:rsidRDefault="0020155F">
      <w:pPr>
        <w:pStyle w:val="a3"/>
      </w:pPr>
      <w:r>
        <w:t xml:space="preserve">　　「上論與下論不同，古人編書有他的規則，絕不隨便。上論，自求學開始，一步步教，有次序，問題少。下論，自〈先進篇〉開始，問題多。經文不是全指一件事，但也略加分類。《論語》難講的都在下論，先引入門，再講難的部分。因為上來領路，若難的講在前，後頭就麻煩了。所以說話辦事，都有次序。學時不可呆板只依一條學，而且必須看他的環境。」</w:t>
      </w:r>
      <w:r>
        <w:t xml:space="preserve"> </w:t>
      </w:r>
    </w:p>
    <w:p w14:paraId="410B6273" w14:textId="77777777" w:rsidR="0020155F" w:rsidRDefault="0020155F">
      <w:pPr>
        <w:pStyle w:val="a3"/>
      </w:pPr>
      <w:r>
        <w:t xml:space="preserve">　　「注解佛經的人注重科判、文字、意義等，或體或用等都不會雷同。」都不一樣，這是注解佛經。「《論語》就不是如此，同一章若干人講，若干說法，鬧意見，我們不知所從，能知道要聽哪一家的講法，學問就不小了。」《論語》同樣一章書，不同的人講，那就很多不同的說法，彼此就鬧意見，我們也不知道依哪一個，如果要能夠知道聽哪一家的講法，這個學問就不小了。「吾講佛經與講《論語》，不依一路子講，我沒有他們的學問，都是參考注子而已。」雪廬老人講，他講《論語》他怎麼講，不是依一路子這樣講，沒有他們的學問，都是參考注解。「你們往後讀書、做事，必須有見識。」這個提示非常重要，沒見識這就不行。「從前注經都是大儒，有門戶之見，這是讀書困難的地方。你們求學難，做事就難，所以吾教你們佛經，教你們了生死。人有生就有死，死後入三途，未死前這一段人生，必須辦事。辦事就有印象，必須致意，了生死還有軌道，辦事卻沒有軌道，最為困難，所以辦事難。大家必須讀歷史，有經驗閱歷，才能辦事。公教人員，不用讀書人不行，學司法、財政是藝術，不讀書一辦事就害人。學校所讀的只是會技能，不會辦事也沒用，今日學校有錢就教，台灣怎能強得起來？心理建設不起來，不能辦事。今日的教育是害人</w:t>
      </w:r>
      <w:r>
        <w:t>害己，將來必墮三途，其苦無窮。讀書明理，更要會用。」</w:t>
      </w:r>
      <w:r>
        <w:t xml:space="preserve"> </w:t>
      </w:r>
    </w:p>
    <w:p w14:paraId="6CCCB54F" w14:textId="77777777" w:rsidR="0020155F" w:rsidRDefault="0020155F">
      <w:pPr>
        <w:pStyle w:val="a3"/>
      </w:pPr>
      <w:r>
        <w:t xml:space="preserve">　　「這一章，本文中有問有答，可以不用注解。但是就可講下去了嗎？我提出問題，就麻煩了。這是吾看書與諸位不同的地方。例如《彌陀經》，一者阿彌陀佛造極樂，一者釋尊宣傳，佛佛道同，佛的境界，迦葉以下諸位祖師沒有敢加一句的，今有陳某某者竟能說幾句，如說夢話，當了十方佛的老師，卻有許多人相信他，真千古怪談。福至心靈，無福的人就會被物欲蒙住耳朵。吾只是空著急，也莫可奈何。」這個也是再一次提出，當時在美國有一個陳某某，主要是講消業才能往生，帶業不能往生，鬧得風雨滿城。迦葉尊者以下這些祖師沒有人敢加一句，這個陳某某竟能說上幾句，還有很多人相信他，這是很奇怪。沒有福的人就會聽他的，有福的人就知道這個不正確，不聽他的。雪廬老人在這裡特別給我們再提示，我們從這個地方，去舉一反三領悟。</w:t>
      </w:r>
      <w:r>
        <w:t xml:space="preserve"> </w:t>
      </w:r>
    </w:p>
    <w:p w14:paraId="0454883F" w14:textId="77777777" w:rsidR="0020155F" w:rsidRDefault="0020155F">
      <w:pPr>
        <w:pStyle w:val="a3"/>
      </w:pPr>
      <w:r>
        <w:lastRenderedPageBreak/>
        <w:t xml:space="preserve">　　『子路問：聞斯行諸？子曰：有父兄在，如之何其聞斯行之？冉有問：聞斯行諸。子曰：聞斯行之。』這是問同樣的問題，「聞斯行諸，子路問，聽到這個事情馬上就去辦嗎？子曰：有父兄在。有長輩在，如之何，其聞之行諸，其指來問的，有父兄在，怎麼可以聽到就去行？」子路問的問題，聽到事情馬上那就去辦，問這個問題。孔子回答，有父親還有兄長在，有長輩在，怎麼可以聽到就去辦？要去向父兄報告、報告才能去做。所以其是來問的，有父兄在，怎麼可以聽到就去行？「再來是冉有問，聽了就去辦嗎？孔子說，聽了就去辦。」那問同樣一個問題，怎麼回答不一樣？子路問，有父兄在那怎麼可以聽了就去辦？要先去請問一下父兄，跟父兄商量、商量，子路得到的回答是這樣。冉有問同樣問題，孔子說那趕快去辦，聽了就去辦，同樣的問題不同的回答。「佛家也是如此，有人問趙州和尚，狗有佛性否？二人同問異答。」有人去問禪宗的趙州和尚，狗有沒有佛性？兩個人同樣去問這個問題，趙州和尚不同的回答。</w:t>
      </w:r>
      <w:r>
        <w:t xml:space="preserve"> </w:t>
      </w:r>
    </w:p>
    <w:p w14:paraId="39FB85C5" w14:textId="77777777" w:rsidR="0020155F" w:rsidRDefault="0020155F">
      <w:pPr>
        <w:pStyle w:val="a3"/>
      </w:pPr>
      <w:r>
        <w:t xml:space="preserve">　　『公西華曰：由也問聞斯行諸。子曰：有父兄在。求也問聞斯行諸，子曰：聞斯行之。赤也惑敢問？』「公西華說：子路問聞斯行諸，老師說有父兄在，不許他行」，要先去向父兄報告。「冉求來問」，一問有這個事情來了，怎麼辦？老師回答你馬上就去幹。「公西華迷惑，應該聽哪一個？」到底要先跟父兄講，還是聽到這個事情，不用跟父兄講馬上就去做？</w:t>
      </w:r>
      <w:r>
        <w:t xml:space="preserve"> </w:t>
      </w:r>
    </w:p>
    <w:p w14:paraId="0147A8D8" w14:textId="77777777" w:rsidR="0020155F" w:rsidRDefault="0020155F">
      <w:pPr>
        <w:pStyle w:val="a3"/>
      </w:pPr>
      <w:r>
        <w:t xml:space="preserve">　　『子曰：求也退，故進之。由也兼人，故退之。』「下頭是孔子答」，回答，「冉求、季路都辦政事，冉有事故深，大小事都斟酌，不斟酌好，沒把握就不做」。這是冉有他非常慎重，大小事沒有斟酌好，沒有把握，他不做。「但是時不可失，機不再來」，有時候時機，時間、機會不可錯過，如果你每樁事情都是仔細斟酌，錯過這個時機就不會再回來，就很可惜了。「孔子故進之」，孔子是針對冉求遇到事情，大小事都是很斟酌，有時候很多事情時機都流失掉，沒有抓住機會，故進之。「所以孔子提倡要他有點勇敢」，聽了馬上就去辦。「子路辦事，一辦就辦二人的事，兼差不兼薪」，多做一份工作，但是沒有多拿一份薪水。「一人辦二事，太超過了，孔子故退之」，孔子說這個太超過了，「所以教他退一退」，先跟父兄商量商量，子路他很積極，所以孔子針對他，你退一下。跟冉求不一樣，問同樣問題，不同的回答。</w:t>
      </w:r>
      <w:r>
        <w:t xml:space="preserve"> </w:t>
      </w:r>
    </w:p>
    <w:p w14:paraId="35250484" w14:textId="77777777" w:rsidR="0020155F" w:rsidRDefault="0020155F">
      <w:pPr>
        <w:pStyle w:val="a3"/>
      </w:pPr>
      <w:r>
        <w:t xml:space="preserve">　　「聞什事？如聞小孩掉水的事，若回去問父兄，小孩已經溺死了。」這是舉出一個例子，如果你聽到有小孩掉到水裡面，馬上要去救。不能聽到，先回去問問父親、兄長然後再來救，這樣時間就耽誤了，再回來小孩已經溺死了。舉出一個例子，像這個事情你就不能去問，不能等你去問再來處理，要馬上處理。「但是也有小事問父兄，大事不問父兄的，一樣可以辦的。」這就看情況，所以這個都要自己去領悟。</w:t>
      </w:r>
      <w:r>
        <w:t xml:space="preserve"> </w:t>
      </w:r>
    </w:p>
    <w:p w14:paraId="682B0F92" w14:textId="77777777" w:rsidR="0020155F" w:rsidRDefault="0020155F">
      <w:pPr>
        <w:pStyle w:val="a3"/>
      </w:pPr>
      <w:r>
        <w:t xml:space="preserve">　　「中國有投諸四裔的說法，四裔進入版圖必須接受中國教化，不受則摒諸四裔。」進入中國版圖，就要接受中國傳統文化的教育，不受就摒除四裔了。「例如：結婚是大事，父母之喪也是大事。婚是大事者，一男一女本來沒有關係，卻說是天倫。《易經》八卦都有定位。古代結婚有三原則」，三個原則，「一者、身是父母給的，自己不做主，必須由父母做主。二者、媒妁之言，必須門戶相當，要所學相當。《左傳》鄭太子忽云：齊大非耦，不論如何不與齊家結婚，因門戶不相當，不可只看眼前一時」，所以傳統這個婚姻是門當戶對。「三者、本人的意見。如唐高祖擇妻，《左傳》也多有。」這是舉出自己本人的意見，舉出唐高祖他選擇這個妻子，在《左傳》也都有這個事情，本人他自己的意見。「又，結婚必須六禮促成，最後才親迎。</w:t>
      </w:r>
      <w:r>
        <w:lastRenderedPageBreak/>
        <w:t>因為結婚如此不容易，又麻煩，而且禮部會給證書。生孩子後，孩子有父一半母一半的血源，所以夫婦是天倫。但舜是聖人卻沒有告訴父母，就自己結婚，《孟子．萬章篇》云：帝使其子九男二女．百官牛羊倉廩備，以事舜於畎畝之中。」</w:t>
      </w:r>
      <w:r>
        <w:t xml:space="preserve"> </w:t>
      </w:r>
    </w:p>
    <w:p w14:paraId="570154A7" w14:textId="77777777" w:rsidR="0020155F" w:rsidRDefault="0020155F">
      <w:pPr>
        <w:pStyle w:val="a3"/>
      </w:pPr>
      <w:r>
        <w:t xml:space="preserve">　　「所聞是什麼事，這些注解多是一偏之思，半身不遂。」這個所聞是什麼事，注解都是有偏的，不完整。「不然，那只好去問冉有、子路、孔子，其他人若不知道，要以孔子為主，其餘都不可靠。」這個最終還是要折中於孔子，如果其他的說法有疑惑，要以孔子為主。</w:t>
      </w:r>
      <w:r>
        <w:t xml:space="preserve"> </w:t>
      </w:r>
    </w:p>
    <w:p w14:paraId="69196F85" w14:textId="77777777" w:rsidR="0020155F" w:rsidRDefault="0020155F">
      <w:pPr>
        <w:pStyle w:val="a3"/>
      </w:pPr>
      <w:r>
        <w:t xml:space="preserve">　　「凡事有實有權，沒有方便不可以。這章的聞，我也不能拿定主意」，聞斯行諸這個聞，雪廬老人說我也不能拿定主意。「諸位視事情狀況而定，以各人的學問去斟酌斟酌。」這就看個人了，這個聞，要看看這個事情的狀況來定，怎麼定就依個人的學問自己去斟酌。</w:t>
      </w:r>
      <w:r>
        <w:t xml:space="preserve"> </w:t>
      </w:r>
    </w:p>
    <w:p w14:paraId="0FD82DE4" w14:textId="77777777" w:rsidR="0020155F" w:rsidRDefault="0020155F">
      <w:pPr>
        <w:pStyle w:val="a3"/>
      </w:pPr>
      <w:r>
        <w:t xml:space="preserve">　　好，這章書我們就學習到這裡。祝大家福慧增長，法喜充滿。阿彌陀佛！　　</w:t>
      </w:r>
    </w:p>
    <w:sectPr w:rsidR="002015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4957" w14:textId="77777777" w:rsidR="0020155F" w:rsidRDefault="0020155F" w:rsidP="002C1466">
      <w:r>
        <w:separator/>
      </w:r>
    </w:p>
  </w:endnote>
  <w:endnote w:type="continuationSeparator" w:id="0">
    <w:p w14:paraId="30F78F17" w14:textId="77777777" w:rsidR="0020155F" w:rsidRDefault="0020155F" w:rsidP="002C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12B8E" w14:textId="77777777" w:rsidR="0020155F" w:rsidRDefault="0020155F" w:rsidP="002C1466">
      <w:r>
        <w:separator/>
      </w:r>
    </w:p>
  </w:footnote>
  <w:footnote w:type="continuationSeparator" w:id="0">
    <w:p w14:paraId="41C07960" w14:textId="77777777" w:rsidR="0020155F" w:rsidRDefault="0020155F" w:rsidP="002C1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66"/>
    <w:rsid w:val="0020155F"/>
    <w:rsid w:val="002C14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094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4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4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