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D09C" w14:textId="77777777" w:rsidR="00DA70C1" w:rsidRDefault="00DA70C1">
      <w:r>
        <w:t xml:space="preserve">每日論語　　悟道法師主講　　（第三一八集）　　</w:t>
      </w:r>
      <w:r>
        <w:t>2019/10/6</w:t>
      </w:r>
      <w:r>
        <w:t xml:space="preserve">　　台灣　　檔名：</w:t>
      </w:r>
      <w:r>
        <w:t xml:space="preserve">WD20-037-0318 </w:t>
      </w:r>
    </w:p>
    <w:p w14:paraId="1757D707" w14:textId="77777777" w:rsidR="00DA70C1" w:rsidRDefault="00DA70C1">
      <w:pPr>
        <w:pStyle w:val="a3"/>
      </w:pPr>
      <w:r>
        <w:t xml:space="preserve">　　諸位同學，大家早上好！我們繼續來學習雪廬老人的《論語講記》，「顏淵篇」第十二章。</w:t>
      </w:r>
      <w:r>
        <w:t xml:space="preserve"> </w:t>
      </w:r>
    </w:p>
    <w:p w14:paraId="1FE0DFD1" w14:textId="77777777" w:rsidR="00DA70C1" w:rsidRDefault="00DA70C1">
      <w:pPr>
        <w:pStyle w:val="a3"/>
      </w:pPr>
      <w:r>
        <w:t xml:space="preserve">　　【子曰。片言可以折獄者。其由也與。子路無宿諾。】</w:t>
      </w:r>
      <w:r>
        <w:t xml:space="preserve"> </w:t>
      </w:r>
    </w:p>
    <w:p w14:paraId="10F71837" w14:textId="77777777" w:rsidR="00DA70C1" w:rsidRDefault="00DA70C1">
      <w:pPr>
        <w:pStyle w:val="a3"/>
      </w:pPr>
      <w:r>
        <w:t xml:space="preserve">　　「《注解》的爭論，吾省略過去，但是你們必須知道說法有許多種。」這章書這裡一段話，雪廬老人講，《注解》裡面的爭論有不同的看法，雪廬老人他把它省略過去，就沒有提出來，但是要我們知道，說法有許多種說法，有不同的注解、不同的說法。</w:t>
      </w:r>
      <w:r>
        <w:t xml:space="preserve"> </w:t>
      </w:r>
    </w:p>
    <w:p w14:paraId="7268ADCD" w14:textId="77777777" w:rsidR="00DA70C1" w:rsidRDefault="00DA70C1">
      <w:pPr>
        <w:pStyle w:val="a3"/>
      </w:pPr>
      <w:r>
        <w:t xml:space="preserve">　　「折獄，書中有兩種解釋，普通只有一種說法。折，斷也。獄是打官司，二人各說各話，有爭論，法官給他判斷判斷，誰對誰不對，所以必須二人對審，聽雙方意見，不能聽一面之詞。」這就是法院打官司，兩個人打官司，一個提告的人，一個是被告的。兩個人當然各人說各人的話，當中必然有爭論，當法官就是判斷，判斷判斷誰對誰不對，所以必須兩個人對面審問，聽雙方說的意見，不能聽一面之詞。「這是在檢察審判期間，這時都是聽對方的言詞」，聽兩方面，對方，法官聽對方講的，一個提告，一個被告，聽完之後，「到後來判決，這是審判官的辦法」，他要怎麼判，那是判官這方面的事情。</w:t>
      </w:r>
      <w:r>
        <w:t xml:space="preserve"> </w:t>
      </w:r>
    </w:p>
    <w:p w14:paraId="34E077AD" w14:textId="77777777" w:rsidR="00DA70C1" w:rsidRDefault="00DA70C1">
      <w:pPr>
        <w:pStyle w:val="a3"/>
      </w:pPr>
      <w:r>
        <w:t xml:space="preserve">　　「今日之下，古書不能讀明白，人情世故又不通，如何學佛？」今天古書我們讀也不能明白，不能讀得懂古書，不懂，對人情世故又不通。讀書不懂，在生活上人情世故又不通，如何學佛？這句話也非常重要，意思就是告訴我們，學佛如果不通人情世故，那都有障礙。「經文只要一字有變動，意義就大變，所以古人讀書講究三到，必須口到、眼到、心到。」這是告訴我們，經文不能忽略每一個字，一個字有變動，那個意義就大大的變化。舉出古人讀書，講究口到、眼到、心要到，這是讀書要三到，這個非常重要。</w:t>
      </w:r>
      <w:r>
        <w:t xml:space="preserve"> </w:t>
      </w:r>
    </w:p>
    <w:p w14:paraId="225BF866" w14:textId="77777777" w:rsidR="00DA70C1" w:rsidRDefault="00DA70C1">
      <w:pPr>
        <w:pStyle w:val="a3"/>
      </w:pPr>
      <w:r>
        <w:t xml:space="preserve">　　「凡有人打官司，兩方面都得採取，聽原告、被告，然後必須自己決斷。」「這一章注重判決的人」，這一章書注重判決的人，判官。</w:t>
      </w:r>
      <w:r>
        <w:t xml:space="preserve"> </w:t>
      </w:r>
    </w:p>
    <w:p w14:paraId="3D551EA5" w14:textId="77777777" w:rsidR="00DA70C1" w:rsidRDefault="00DA70C1">
      <w:pPr>
        <w:pStyle w:val="a3"/>
      </w:pPr>
      <w:r>
        <w:t xml:space="preserve">　　「片言，有人說是一方面。」就是我們一般講片面之言，就一方面講出來的，這是有人說片言是指一方面說的。「另外有注子解釋為三言兩語」，另外也有注解解釋，片言是三言兩語的意思。「所謂一片孤城是指一大片，但是這裡的片言是指三言兩句的判決書。若問案必須當場判決，所以從前縣官必須兩榜進士出身，不然不能寫判詞，捐官出身不能當縣官（正堂）。從前有財政、刑名的師爺可以輔佐捐官，都是江南人，有祖傳的。」捐官是皇帝賜的這個官，不是從正規考進士出身的，所以必須要有輔佐的師爺來輔佐捐官，因為他沒辦法當縣官（正堂），他這方面的能力就不足。</w:t>
      </w:r>
      <w:r>
        <w:t xml:space="preserve"> </w:t>
      </w:r>
    </w:p>
    <w:p w14:paraId="0585859F" w14:textId="77777777" w:rsidR="00DA70C1" w:rsidRDefault="00DA70C1">
      <w:pPr>
        <w:pStyle w:val="a3"/>
      </w:pPr>
      <w:r>
        <w:t xml:space="preserve">　　『子曰：片言可以折獄者，其由也與。』</w:t>
      </w:r>
      <w:r>
        <w:t xml:space="preserve"> </w:t>
      </w:r>
    </w:p>
    <w:p w14:paraId="6E63EAE4" w14:textId="77777777" w:rsidR="00DA70C1" w:rsidRDefault="00DA70C1">
      <w:pPr>
        <w:pStyle w:val="a3"/>
      </w:pPr>
      <w:r>
        <w:lastRenderedPageBreak/>
        <w:t xml:space="preserve">　　「孔子讚歎他的學生，仲由問案，不必洋洋一大篇，三言兩句批上，兩方都佩服，就解決了，那就是仲由嗎？」</w:t>
      </w:r>
      <w:r>
        <w:t xml:space="preserve"> </w:t>
      </w:r>
    </w:p>
    <w:p w14:paraId="0A372DA2" w14:textId="77777777" w:rsidR="00DA70C1" w:rsidRDefault="00DA70C1">
      <w:pPr>
        <w:pStyle w:val="a3"/>
      </w:pPr>
      <w:r>
        <w:t xml:space="preserve">　　「一般人自己沒有主見，浸潤之譖，膚受之愬，心裡搖搖動動，毫無主張，東說聽東，西說聽西。子路不僅問案如此，任何事都決斷，與朋友共、辦事都痛快。子路為什麼能這麼決斷？子路是真明白。為什麼能明白？無欲則剛，剛則明。欲者私心，私心滔滔，如何剛直！所以諸位應當學：第一誠實，第二少欲。有欲望，不僅在社會上站不住，學佛也白學了，如何能往生？倒是枉生了。」後面講枉生了是冤枉那個枉，這個音跟前往的往是同一個音，不同一個字。雪廬老人講，有欲望不僅在社會上站不住腳，因為私心太重，學佛也白學了，都為自己自私自利在著想，這樣念佛怎麼能往生？倒是枉生了，反過來講，冤枉這一生遇到佛法了。</w:t>
      </w:r>
      <w:r>
        <w:t xml:space="preserve"> </w:t>
      </w:r>
    </w:p>
    <w:p w14:paraId="01DE5C9F" w14:textId="77777777" w:rsidR="00DA70C1" w:rsidRDefault="00DA70C1">
      <w:pPr>
        <w:pStyle w:val="a3"/>
      </w:pPr>
      <w:r>
        <w:t xml:space="preserve">　　『子路無宿諾。』</w:t>
      </w:r>
      <w:r>
        <w:t xml:space="preserve"> </w:t>
      </w:r>
    </w:p>
    <w:p w14:paraId="4A93FF27" w14:textId="77777777" w:rsidR="00DA70C1" w:rsidRDefault="00DA70C1">
      <w:pPr>
        <w:pStyle w:val="a3"/>
      </w:pPr>
      <w:r>
        <w:t xml:space="preserve">　　「子路無宿諾與上章連不上，而且上一章稱由，這章稱子路，文理就不通，這應是另一章。」雪廬老人提出來，子路無宿諾這章書，跟上面一章應該是分開的。因為上面是講由，這裡稱子路，從文理講就不通。所以雪廬老人看法，應該是另外一章，跟上一章不同。「有主張連下一章聽訟章，合三段為一章。」也有人主張這一章書跟下面聽頌這章，應該把它連起來，三段合為一章，也有人這樣的主張。「實在是分三章講較好，這裡做三章講。」雪廬老人講，實在分三章來講比較好。「你們要常自求學而能入，必得開悟而後學問可以進步。」雪廬老人勉勵大家，要常常自求學而能入，自己要求自己，學了能夠入進去，必得開悟，必須到開悟、有悟處，而後學問就可以進步。</w:t>
      </w:r>
      <w:r>
        <w:t xml:space="preserve"> </w:t>
      </w:r>
    </w:p>
    <w:p w14:paraId="2AB04846" w14:textId="77777777" w:rsidR="00DA70C1" w:rsidRDefault="00DA70C1">
      <w:pPr>
        <w:pStyle w:val="a3"/>
      </w:pPr>
      <w:r>
        <w:t xml:space="preserve">　　「子路無宿諾。宿有作住宿的宿，有人解釋作豫，答應人的話不早先說」，這是豫備這個豫。「《朱注》作」，宋朝朱子的注解，他把它解釋作「答應人就不能留宿，馬上去辦」，答應人就馬上去辦，不能等到明天。「吾主張是豫」，雪廬老人他主張這個宿的意思是豫，豫先。「子路不豫先答應，考慮再說。孔子曾說：子路有聞，未之能行，唯恐又聞。子路聽了就去辦，所以不豫先答應，答應後就必須去辦，辦完了再答應第二條。」</w:t>
      </w:r>
      <w:r>
        <w:t xml:space="preserve"> </w:t>
      </w:r>
    </w:p>
    <w:p w14:paraId="47D16C63" w14:textId="77777777" w:rsidR="00DA70C1" w:rsidRDefault="00DA70C1">
      <w:pPr>
        <w:pStyle w:val="a3"/>
      </w:pPr>
      <w:r>
        <w:t xml:space="preserve">　　「上來這兩節書，如此講合理，凡事必須合乎世故人情。」雪廬老人在《論語講記》、《常禮舉要講記》特別提到世故人情。我們現在人真的不懂世故人情，這個都必須是學問增長，慢慢才能通達世故人情。</w:t>
      </w:r>
      <w:r>
        <w:t xml:space="preserve"> </w:t>
      </w:r>
    </w:p>
    <w:p w14:paraId="4837EC54" w14:textId="77777777" w:rsidR="00DA70C1" w:rsidRDefault="00DA70C1">
      <w:pPr>
        <w:pStyle w:val="a3"/>
      </w:pPr>
      <w:r>
        <w:t xml:space="preserve">　　好，這章書我們就學習到這裡。祝大家福慧增長，法喜充滿。阿彌陀佛！　　</w:t>
      </w:r>
    </w:p>
    <w:sectPr w:rsidR="00DA70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CF7B8" w14:textId="77777777" w:rsidR="00DA70C1" w:rsidRDefault="00DA70C1" w:rsidP="00705D1C">
      <w:r>
        <w:separator/>
      </w:r>
    </w:p>
  </w:endnote>
  <w:endnote w:type="continuationSeparator" w:id="0">
    <w:p w14:paraId="03A7F2F2" w14:textId="77777777" w:rsidR="00DA70C1" w:rsidRDefault="00DA70C1" w:rsidP="00705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FF5A6" w14:textId="77777777" w:rsidR="00DA70C1" w:rsidRDefault="00DA70C1" w:rsidP="00705D1C">
      <w:r>
        <w:separator/>
      </w:r>
    </w:p>
  </w:footnote>
  <w:footnote w:type="continuationSeparator" w:id="0">
    <w:p w14:paraId="3ABA21C5" w14:textId="77777777" w:rsidR="00DA70C1" w:rsidRDefault="00DA70C1" w:rsidP="00705D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1C"/>
    <w:rsid w:val="00705D1C"/>
    <w:rsid w:val="007931EE"/>
    <w:rsid w:val="00DA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425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D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D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D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D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