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54B3" w14:textId="77777777" w:rsidR="00460532" w:rsidRDefault="00460532">
      <w:r>
        <w:t xml:space="preserve">每日論語　　悟道法師主講　　（第三二四集）　　</w:t>
      </w:r>
      <w:r>
        <w:t>2019/10/12</w:t>
      </w:r>
      <w:r>
        <w:t xml:space="preserve">　　法國　　檔名：</w:t>
      </w:r>
      <w:r>
        <w:t xml:space="preserve">WD20-037-0324 </w:t>
      </w:r>
    </w:p>
    <w:p w14:paraId="722B2D91" w14:textId="77777777" w:rsidR="00460532" w:rsidRDefault="00460532">
      <w:pPr>
        <w:pStyle w:val="a3"/>
      </w:pPr>
      <w:r>
        <w:t xml:space="preserve">　　諸位同學，大家好！我們繼續來學習雪廬老人的《論語講記》，〈顏淵篇〉第十八章。</w:t>
      </w:r>
      <w:r>
        <w:t xml:space="preserve"> </w:t>
      </w:r>
    </w:p>
    <w:p w14:paraId="7D800C02" w14:textId="77777777" w:rsidR="00460532" w:rsidRDefault="00460532">
      <w:pPr>
        <w:pStyle w:val="a3"/>
      </w:pPr>
      <w:r>
        <w:t xml:space="preserve">　　【季康子患盜。問於孔子。孔子對曰。苟子之不欲。雖賞之不竊。】</w:t>
      </w:r>
      <w:r>
        <w:t xml:space="preserve"> </w:t>
      </w:r>
    </w:p>
    <w:p w14:paraId="34599E24" w14:textId="77777777" w:rsidR="00460532" w:rsidRDefault="00460532">
      <w:pPr>
        <w:pStyle w:val="a3"/>
      </w:pPr>
      <w:r>
        <w:t xml:space="preserve">　　「哪一章書都有問題，一種注解的問題還少，若集合眾多注就有多種解釋。這本《集釋》也有它的主體，它的按語為它的主體。所集的注解可做為你的參考，全在自己眼力的判斷。比起只看一種注解好，例如買物品多看幾家，縱使看走眼也知道有若干貨物；雖然可能看走眼，也看過若干注子了。」這章書開頭一段，雪廬老人講注解，看了幾種注解，總是也看過很多種注解，比看一種注解當然會多知道一些。</w:t>
      </w:r>
      <w:r>
        <w:t xml:space="preserve"> </w:t>
      </w:r>
    </w:p>
    <w:p w14:paraId="6D1496D4" w14:textId="77777777" w:rsidR="00460532" w:rsidRDefault="00460532">
      <w:pPr>
        <w:pStyle w:val="a3"/>
      </w:pPr>
      <w:r>
        <w:t xml:space="preserve">　　『季康子患盜，問於孔子。』</w:t>
      </w:r>
      <w:r>
        <w:t xml:space="preserve"> </w:t>
      </w:r>
    </w:p>
    <w:p w14:paraId="49EB355B" w14:textId="77777777" w:rsidR="00460532" w:rsidRDefault="00460532">
      <w:pPr>
        <w:pStyle w:val="a3"/>
      </w:pPr>
      <w:r>
        <w:t xml:space="preserve">　　「季康子為三家大夫，分去魯君的主權。凡事都有變化，好壞都是無常，所以三家也受制於家臣。」</w:t>
      </w:r>
      <w:r>
        <w:t xml:space="preserve"> </w:t>
      </w:r>
    </w:p>
    <w:p w14:paraId="5F6AC517" w14:textId="77777777" w:rsidR="00460532" w:rsidRDefault="00460532">
      <w:pPr>
        <w:pStyle w:val="a3"/>
      </w:pPr>
      <w:r>
        <w:t xml:space="preserve">　　「這一章是季康子家犯盜。盜並不是當小賊大盜，《說文》，私利物也，凡是有私欲貪利就是盜，有欲心就是私心，不是公心。宋儒說：主敬存誠，懲忿窒欲；言忠信，毋不敬。誠者，天之道；誠之者，人之道。聖人不以聲色教人，有私欲要杜絕不使它發展，但是做到的有幾人？一般人只是記問之學而已，這種學問沒有用，要注重在實行上。」</w:t>
      </w:r>
      <w:r>
        <w:t xml:space="preserve"> </w:t>
      </w:r>
    </w:p>
    <w:p w14:paraId="1E17E5D0" w14:textId="77777777" w:rsidR="00460532" w:rsidRDefault="00460532">
      <w:pPr>
        <w:pStyle w:val="a3"/>
      </w:pPr>
      <w:r>
        <w:t xml:space="preserve">　　「佛家說不與取就是盜，一般人以為不合理，其實儒家也是主張凡起欲心希望要得到就是盜。盜這個字，從水從欠從皿，見皿而有欲求心，就已經起盜心了。所以求學與求道不同。季康子憂患國有盜，憂患欺騙他的人，問孔子怎麼辦。」</w:t>
      </w:r>
      <w:r>
        <w:t xml:space="preserve"> </w:t>
      </w:r>
    </w:p>
    <w:p w14:paraId="15D829F7" w14:textId="77777777" w:rsidR="00460532" w:rsidRDefault="00460532">
      <w:pPr>
        <w:pStyle w:val="a3"/>
      </w:pPr>
      <w:r>
        <w:t xml:space="preserve">　　『孔子對曰：苟子之不欲，雖賞之不竊。』</w:t>
      </w:r>
      <w:r>
        <w:t xml:space="preserve"> </w:t>
      </w:r>
    </w:p>
    <w:p w14:paraId="20CEB48F" w14:textId="77777777" w:rsidR="00460532" w:rsidRDefault="00460532">
      <w:pPr>
        <w:pStyle w:val="a3"/>
      </w:pPr>
      <w:r>
        <w:t xml:space="preserve">　　「孔子說假若你沒有私欲心，沒有看到東西就要的心，凡是爭執、爭物品，都是私心滔滔，你要是沒有私欲心，就無盜了。」</w:t>
      </w:r>
      <w:r>
        <w:t xml:space="preserve"> </w:t>
      </w:r>
    </w:p>
    <w:p w14:paraId="34F1A4E5" w14:textId="77777777" w:rsidR="00460532" w:rsidRDefault="00460532">
      <w:pPr>
        <w:pStyle w:val="a3"/>
      </w:pPr>
      <w:r>
        <w:t xml:space="preserve">　　「你做領導者要無私欲心，上行而下效。開道場就是當小領袖，這不容易，所以我不希望你們辦道場，有了若干人你能控制嗎？領導人若是沒有私欲，雖賞之不竊，誰來做盜？就像有獎盜金、有功勞賞給你，雖賞他也不去當盜，因為大家都有廉恥之心。管子是圖霸的人，他主張用禮義廉恥四字，若無恥則國必覆亡，無恥則無所不為了。大家想想，今日是何等局面？天天有盜，今天出了牢獄，明天又當盜，以盜為光榮，恥字喪失了。人一沒有羞恥，就無所不為。凡事須防範，所以必須慎獨，要不愧衾影，如十目所視、十手所指，富貴之家鬼闞其事，須防微杜漸，這是心理哲學。」</w:t>
      </w:r>
      <w:r>
        <w:t xml:space="preserve"> </w:t>
      </w:r>
    </w:p>
    <w:p w14:paraId="354FC1F4" w14:textId="77777777" w:rsidR="00460532" w:rsidRDefault="00460532">
      <w:pPr>
        <w:pStyle w:val="a3"/>
      </w:pPr>
      <w:r>
        <w:t xml:space="preserve">　　「吾只講這一點，你自己必須類推，例如虞芮二國到了文王國境，見全國整齊而不爭，除文王的德性外，這也是虞芮二位國君有羞恥心，否則也沒用。」</w:t>
      </w:r>
      <w:r>
        <w:t xml:space="preserve"> </w:t>
      </w:r>
    </w:p>
    <w:p w14:paraId="4FD08289" w14:textId="77777777" w:rsidR="00460532" w:rsidRDefault="00460532">
      <w:pPr>
        <w:pStyle w:val="a3"/>
      </w:pPr>
      <w:r>
        <w:t xml:space="preserve">　　好，這章書我們就學習到這裡。祝大家福慧增長，法喜充滿。阿彌陀佛！　　</w:t>
      </w:r>
    </w:p>
    <w:sectPr w:rsidR="004605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AEC98" w14:textId="77777777" w:rsidR="00460532" w:rsidRDefault="00460532" w:rsidP="00C14708">
      <w:r>
        <w:separator/>
      </w:r>
    </w:p>
  </w:endnote>
  <w:endnote w:type="continuationSeparator" w:id="0">
    <w:p w14:paraId="271F0AEB" w14:textId="77777777" w:rsidR="00460532" w:rsidRDefault="00460532" w:rsidP="00C14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B5C2E" w14:textId="77777777" w:rsidR="00460532" w:rsidRDefault="00460532" w:rsidP="00C14708">
      <w:r>
        <w:separator/>
      </w:r>
    </w:p>
  </w:footnote>
  <w:footnote w:type="continuationSeparator" w:id="0">
    <w:p w14:paraId="63283622" w14:textId="77777777" w:rsidR="00460532" w:rsidRDefault="00460532" w:rsidP="00C14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08"/>
    <w:rsid w:val="00460532"/>
    <w:rsid w:val="007931EE"/>
    <w:rsid w:val="00C1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4CC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7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7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7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7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