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61DE" w14:textId="77777777" w:rsidR="00A32C31" w:rsidRDefault="00A32C31">
      <w:r>
        <w:t xml:space="preserve">每日論語　　悟道法師主講　　（第三二七集）　　</w:t>
      </w:r>
      <w:r>
        <w:t>2019/10/15</w:t>
      </w:r>
      <w:r>
        <w:t xml:space="preserve">　　法國　　檔名：</w:t>
      </w:r>
      <w:r>
        <w:t xml:space="preserve">WD20-037-0327 </w:t>
      </w:r>
    </w:p>
    <w:p w14:paraId="212D4769" w14:textId="77777777" w:rsidR="00A32C31" w:rsidRDefault="00A32C31">
      <w:pPr>
        <w:pStyle w:val="a3"/>
      </w:pPr>
      <w:r>
        <w:t xml:space="preserve">　　諸位同學，大家早上好！我們繼續來學習雪廬老人的《論語講記》，〈顏淵篇〉第二十一章。</w:t>
      </w:r>
      <w:r>
        <w:t xml:space="preserve"> </w:t>
      </w:r>
    </w:p>
    <w:p w14:paraId="61193EBD" w14:textId="77777777" w:rsidR="00A32C31" w:rsidRDefault="00A32C31">
      <w:pPr>
        <w:pStyle w:val="a3"/>
      </w:pPr>
      <w:r>
        <w:t xml:space="preserve">　　【樊遲從遊於舞雩之下。曰。敢問崇德。脩慝。辨惑。子曰。善哉問。先事後得。非崇德與。攻其惡。無攻人之惡。非脩慝與。一朝之忿。忘其身。以及其親。非惑與。】</w:t>
      </w:r>
      <w:r>
        <w:t xml:space="preserve"> </w:t>
      </w:r>
    </w:p>
    <w:p w14:paraId="2088D053" w14:textId="77777777" w:rsidR="00A32C31" w:rsidRDefault="00A32C31">
      <w:pPr>
        <w:pStyle w:val="a3"/>
      </w:pPr>
      <w:r>
        <w:t xml:space="preserve">　　「每段都有若干說法，大家若先預習，講的時候就省事，因為講時只採取其中的一說。」</w:t>
      </w:r>
      <w:r>
        <w:t xml:space="preserve"> </w:t>
      </w:r>
    </w:p>
    <w:p w14:paraId="3BACB6B3" w14:textId="77777777" w:rsidR="00A32C31" w:rsidRDefault="00A32C31">
      <w:pPr>
        <w:pStyle w:val="a3"/>
      </w:pPr>
      <w:r>
        <w:t xml:space="preserve">　　『樊遲從遊於舞雩之下。』「舞雩在曲阜城外一里地」，這是一個地方的地名，「有壇有碑，人稱曾點所遊處」，大家都稱這是曾點所遊歷的處所。「這裡是有風景的地方」，就是舞雩。「有人說孔子等人是祭時來到舞雩台」，古時候求雨來到舞雩台，跳舞的舞，雩跟下雨那個雨是同樣一個音，就是求雨，乾旱很久沒有下雨，來舞雩台求雨，這是古時候求雨的一個台，求雨的一個地方。「本文並沒說」，這是有人講，孔子等人是祭祀的時候來到舞雩台，這章書的經文並沒有說，說孔子來到舞雩台，「少講可以」，像本文沒有說的地方，我們就少講，可以不講，「凡事不要節外生枝」，就是有些注解多講，那就變成節外生枝，也會引起很多爭議跟質疑，「讀書人藏焉，修焉，息焉，遊焉。學習要以遊以息，孔子出遊，弟子也一同出遊」。這個出遊就是到外面去，我們現在講旅遊，讀書人旅遊，不是我們現在好像吃喝玩樂，旅遊也是在學習，我們一般講遊學遊學，一邊旅遊一邊學習，增廣見識，增廣見聞。「孔子與門人到舞雩壇」，這個求雨的壇，「出遊、飲食、起居都不離求學」，出去旅遊，吃飯飲食、住的起居都不離開求學，「普通人所談都與求道無關。」</w:t>
      </w:r>
      <w:r>
        <w:t xml:space="preserve"> </w:t>
      </w:r>
    </w:p>
    <w:p w14:paraId="6BE9D3DB" w14:textId="77777777" w:rsidR="00A32C31" w:rsidRDefault="00A32C31">
      <w:pPr>
        <w:pStyle w:val="a3"/>
      </w:pPr>
      <w:r>
        <w:t xml:space="preserve">　　『曰：敢問崇德、脩慝、辨惑？』「樊遲提出疑問，前面子張已經問這兩條了，現今再加一條，為什麼樊遲再問？因為這三句是古言語，也是聖言量。既是古言語，就有很多人說，說法各有不同。雖然群書經秦火焚毀，但是現今的六經、十三經、《易經》之中有很多韻文，這些經書都能配琴瑟來念，家絃戶誦，所以能留傳下來。那麼古人不會說白話嗎？」我們現在講一般的白話，古人不會說嗎？當然白話古人都會說。「十里不同風，百里不同俗」，距離有十里路，風就不同了，一百里那個習俗也不同了，一般講風俗不一樣了。「台中與台北說的言語就不同」，在過去台灣全省，你到每個縣市他講的同樣是閔南語，但是那個調就不一樣。有時候講一個東西，比如說一個水果，一個餐具，它的用詞也不同，這就是白話各有不一樣的。「若是文言文，則書同文，車同軌」，如果文言文，這個書信、文章，用文言文那都相同，車的軌道也相同。所以秦始皇統一文字，跟車的軌道，書同文，車同軌。「所以凡公事都用文言」，公家辦事都用文言來寫。「不可以用土話」，講土話每個地方不一樣，「講土話則各各分裂」，就要分裂了，所以國家要有一個統一的言語文字。「所以要滅人的國家先滅他的文字。今日提倡都學英文，如今台灣是在滅自己的文化</w:t>
      </w:r>
      <w:r>
        <w:t>，這是什麼政策？」</w:t>
      </w:r>
      <w:r>
        <w:t xml:space="preserve"> </w:t>
      </w:r>
    </w:p>
    <w:p w14:paraId="047168CE" w14:textId="77777777" w:rsidR="00A32C31" w:rsidRDefault="00A32C31">
      <w:pPr>
        <w:pStyle w:val="a3"/>
      </w:pPr>
      <w:r>
        <w:t xml:space="preserve">　　「你們聽了必須自己覺悟，今日我們是自滅文化」，現在我們是自己在消滅自己的文化。「現今若依古音，我們都不懂，如曹大家，家古音姑」，姑姑的姑，現在我</w:t>
      </w:r>
      <w:r>
        <w:lastRenderedPageBreak/>
        <w:t>們看到這個字，念曹大家，古時候念曹大姑。「現今的詩韻為宋韻」，現在吟誦的詩韻是宋朝的宋韻，「但離唐代不遠」，離唐朝還不是很久。「此章崇德、脩慝、辨惑，德、特、惑，押韻是韻文，好記。古代小孩未上學前先念詩，因為好記。」</w:t>
      </w:r>
      <w:r>
        <w:t xml:space="preserve"> </w:t>
      </w:r>
    </w:p>
    <w:p w14:paraId="0DCE5E36" w14:textId="77777777" w:rsidR="00A32C31" w:rsidRDefault="00A32C31">
      <w:pPr>
        <w:pStyle w:val="a3"/>
      </w:pPr>
      <w:r>
        <w:t xml:space="preserve">　　『子曰：善哉問！先事後得，非崇德與？』「崇德德性必須尊崇。脩慝，慝，心藏著，心裡有不可告人的話語，既不是好事，又不是好話，所以必須修，修理、改改。如何將藏心昧己的毛病改改，去除。現今非但普通人自私自利，學儒學佛也是如此，將來有什麼成就？」</w:t>
      </w:r>
      <w:r>
        <w:t xml:space="preserve"> </w:t>
      </w:r>
    </w:p>
    <w:p w14:paraId="4100FA02" w14:textId="77777777" w:rsidR="00A32C31" w:rsidRDefault="00A32C31">
      <w:pPr>
        <w:pStyle w:val="a3"/>
      </w:pPr>
      <w:r>
        <w:t xml:space="preserve">　　「惑，佛家也說，身口意三業都是迷惑顛倒，因為有見思惑的緣故，如何辦出好事？佛家講斷，儒家講辨，要先辨別明白，什麼是惑，什麼是不惑。樊遲提這三條，請問於孔子。」</w:t>
      </w:r>
      <w:r>
        <w:t xml:space="preserve"> </w:t>
      </w:r>
    </w:p>
    <w:p w14:paraId="5D840800" w14:textId="77777777" w:rsidR="00A32C31" w:rsidRDefault="00A32C31">
      <w:pPr>
        <w:pStyle w:val="a3"/>
      </w:pPr>
      <w:r>
        <w:t xml:space="preserve">　　「注者說」，注解的人說，「這是樊遲的壞處，樊遲是文武雙全，我們哪一條比得上？後人妄自聰明，如何得了？」這段雪廬老人講，有注解的人說，這是樊遲的壞處，樊遲文武雙全，我們跟他比哪一條能比得上他？以後的人妄自聰明，這不得了。「善哉問，而且孔子先讚歎。後人反而說樊遲的不是，也是奇怪。」在經文裡面孔子先讚歎樊遲，以後注解的人反而說樊遲不好的地方，也是很奇怪的事。</w:t>
      </w:r>
      <w:r>
        <w:t xml:space="preserve"> </w:t>
      </w:r>
    </w:p>
    <w:p w14:paraId="2D33C9B5" w14:textId="77777777" w:rsidR="00A32C31" w:rsidRDefault="00A32C31">
      <w:pPr>
        <w:pStyle w:val="a3"/>
      </w:pPr>
      <w:r>
        <w:t xml:space="preserve">　　「先事後得，非崇德與，辦事做什麼？是有所為，還是無所為？各人有各人的事，家有家事，國家社會各有其事，都得知道。辦事，開始為種因，後來為結果。先幹完事，後來辦完事得了結果」，事辦完了就得了結果。「不可幹一半，就想結果，如此幹不出事來。例如燒開水，不可燒一半就取來喝。古人辦大事者，叫大器晚成。種空心菜，與種桃、李、蘋果不同。先須受辛苦，受多少辛苦得多少結果。所以說：只問耕耘，莫論前程。因為屆時必得結果。聖人說先事後得，言語語氣都緩和含蓄。」</w:t>
      </w:r>
      <w:r>
        <w:t xml:space="preserve"> </w:t>
      </w:r>
    </w:p>
    <w:p w14:paraId="36CDF933" w14:textId="77777777" w:rsidR="00A32C31" w:rsidRDefault="00A32C31">
      <w:pPr>
        <w:pStyle w:val="a3"/>
      </w:pPr>
      <w:r>
        <w:t xml:space="preserve">　　『攻其惡，無攻人之惡，非脩慝與？』「攻其惡，無攻人之惡。攻者，當改正、改變講。有惡就改。一般人，都容易評別人的錯，而原諒自己的過錯。其，表示自己。找毛病，就找自己的毛病。讀書必須照辦，不是作文章。改毛病，必得天天如此，一週以後就會變樣子。曾子三省，就是日日攻擊自己。自己認為好者，必為壞人，所以佛家趙州和尚說佛性而變狗，有覺性而明知故犯，而變為狗。可資警戒！」</w:t>
      </w:r>
      <w:r>
        <w:t xml:space="preserve"> </w:t>
      </w:r>
    </w:p>
    <w:p w14:paraId="16DDE834" w14:textId="77777777" w:rsidR="00A32C31" w:rsidRDefault="00A32C31">
      <w:pPr>
        <w:pStyle w:val="a3"/>
      </w:pPr>
      <w:r>
        <w:t xml:space="preserve">　　『一朝之忿，忘其身以及其親，非惑與？』「其次說辨惑。惑的事很多，為什麼只說這一點？一朝之忿，一朝是短短時間，假設的辭語。看見不如意的事，天天發牢騷，問你有什麼辦法？我沒有辦法。而且各國都如此，這是天下無道久矣。只有君子坦蕩蕩，素位而行，素富貴行乎富貴，素貧賤行乎貧賤。所以佛對於眾生，不論如何壞，也不憂也不喜；因為眾生本來就帶著惑的緣故，這就是眾生相。」</w:t>
      </w:r>
      <w:r>
        <w:t xml:space="preserve"> </w:t>
      </w:r>
    </w:p>
    <w:p w14:paraId="5A21E217" w14:textId="77777777" w:rsidR="00A32C31" w:rsidRDefault="00A32C31">
      <w:pPr>
        <w:pStyle w:val="a3"/>
      </w:pPr>
      <w:r>
        <w:t xml:space="preserve">　　「自開天闢地，從來沒有都好的。但是碰到這些事，忍無可忍，過不去，便與他拚命。一肚子忿氣，一時發出來。所謂一朝之忿，忘其身者，一忿怒起來誰會不忘？連自己也忘了。忘其身，既然是拚命，先死者還容易，後死者就困難了。」這個人一生氣就跟人拼命了，先死的人還比較容易的，後面死的人那就困難了，問題很多。「而且以及其親，人都有父母，但是古人今人有所不同。盜賊如張獻忠、李自成，對</w:t>
      </w:r>
      <w:r>
        <w:lastRenderedPageBreak/>
        <w:t>自己父母也不變樣，對於老師尚且不殺。父母對子女的情意，自己可死，不使兒子死。如今是連累到父母，子女對於父母是如何？到時才後悔不已，有什麼用處？」</w:t>
      </w:r>
      <w:r>
        <w:t xml:space="preserve"> </w:t>
      </w:r>
    </w:p>
    <w:p w14:paraId="60EB65F8" w14:textId="77777777" w:rsidR="00A32C31" w:rsidRDefault="00A32C31">
      <w:pPr>
        <w:pStyle w:val="a3"/>
      </w:pPr>
      <w:r>
        <w:t xml:space="preserve">　　「這一朝之忿，就是起惑；起惑就是造業，造業就得受苦。這與佛學有什麼差別？佛家說惑是三毒，這章舉出的惑是第二的瞋」，貪瞋痴第二個瞋。「火燒功德林，這不是惑嗎？由此可見，學佛再念孔子書，大有助益。」學了佛再來念儒家孔子的書，大有幫助利益。</w:t>
      </w:r>
      <w:r>
        <w:t xml:space="preserve"> </w:t>
      </w:r>
    </w:p>
    <w:p w14:paraId="41B3BE39" w14:textId="77777777" w:rsidR="00A32C31" w:rsidRDefault="00A32C31">
      <w:pPr>
        <w:pStyle w:val="a3"/>
      </w:pPr>
      <w:r>
        <w:t xml:space="preserve">　　好，今天這章書我們就學習到這裡。祝大家福慧增長，法喜充滿。阿彌陀佛！　　</w:t>
      </w:r>
    </w:p>
    <w:sectPr w:rsidR="00A32C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EF99A" w14:textId="77777777" w:rsidR="00A32C31" w:rsidRDefault="00A32C31" w:rsidP="000B5CFB">
      <w:r>
        <w:separator/>
      </w:r>
    </w:p>
  </w:endnote>
  <w:endnote w:type="continuationSeparator" w:id="0">
    <w:p w14:paraId="7FD21484" w14:textId="77777777" w:rsidR="00A32C31" w:rsidRDefault="00A32C31" w:rsidP="000B5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6748A" w14:textId="77777777" w:rsidR="00A32C31" w:rsidRDefault="00A32C31" w:rsidP="000B5CFB">
      <w:r>
        <w:separator/>
      </w:r>
    </w:p>
  </w:footnote>
  <w:footnote w:type="continuationSeparator" w:id="0">
    <w:p w14:paraId="2E258367" w14:textId="77777777" w:rsidR="00A32C31" w:rsidRDefault="00A32C31" w:rsidP="000B5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FB"/>
    <w:rsid w:val="000B5CFB"/>
    <w:rsid w:val="007931EE"/>
    <w:rsid w:val="00A3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7CC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C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C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C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C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