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92C8" w14:textId="77777777" w:rsidR="007931D8" w:rsidRDefault="007931D8">
      <w:r>
        <w:t xml:space="preserve">每日論語　　悟道法師主講　　（第三六一集）　　</w:t>
      </w:r>
      <w:r>
        <w:t>2019/11/18</w:t>
      </w:r>
      <w:r>
        <w:t xml:space="preserve">　　奉化　　檔名：</w:t>
      </w:r>
      <w:r>
        <w:t xml:space="preserve">WD20-037-0361 </w:t>
      </w:r>
    </w:p>
    <w:p w14:paraId="1C8FE052" w14:textId="77777777" w:rsidR="007931D8" w:rsidRDefault="007931D8">
      <w:pPr>
        <w:pStyle w:val="a3"/>
      </w:pPr>
      <w:r>
        <w:t xml:space="preserve">　　諸位同學，大家早上好！我們繼續來學習雪廬老人的《論語講記》，〈子路篇〉第三十章。</w:t>
      </w:r>
      <w:r>
        <w:t xml:space="preserve"> </w:t>
      </w:r>
    </w:p>
    <w:p w14:paraId="569D5F36" w14:textId="77777777" w:rsidR="007931D8" w:rsidRDefault="007931D8">
      <w:pPr>
        <w:pStyle w:val="a3"/>
      </w:pPr>
      <w:r>
        <w:t xml:space="preserve">　　【子曰。以不教民戰。是謂棄之。】</w:t>
      </w:r>
      <w:r>
        <w:t xml:space="preserve"> </w:t>
      </w:r>
    </w:p>
    <w:p w14:paraId="6E5A8803" w14:textId="77777777" w:rsidR="007931D8" w:rsidRDefault="007931D8">
      <w:pPr>
        <w:pStyle w:val="a3"/>
      </w:pPr>
      <w:r>
        <w:t xml:space="preserve">　　『子曰：以不教民戰』，「要是招起兵來，或徵兵，必須先有相當的教訓，不是只教戰技而已，道德思想是重要問題。」</w:t>
      </w:r>
      <w:r>
        <w:t xml:space="preserve"> </w:t>
      </w:r>
    </w:p>
    <w:p w14:paraId="2220BC6D" w14:textId="77777777" w:rsidR="007931D8" w:rsidRDefault="007931D8">
      <w:pPr>
        <w:pStyle w:val="a3"/>
      </w:pPr>
      <w:r>
        <w:t xml:space="preserve">　　『是謂棄之。』「打仗主要是思想問題，心理沒有建立起來，以未教過的人民作戰就是棄捨了他。」這個就是人民你沒有教他，教他打仗，打仗首先是要教思想，為何而戰，為誰而戰。為什麼要打仗？為誰來打仗？這個道理要先教，這個心理如果沒有先建立起來，只是教人民當兵，教他戰技，作戰的技術，這個就是棄捨了他。因為他不知道為何而戰，為誰而戰，為什麼要戰爭？為什麼打仗？他不懂，就是棄捨。</w:t>
      </w:r>
      <w:r>
        <w:t xml:space="preserve"> </w:t>
      </w:r>
    </w:p>
    <w:p w14:paraId="5CE95346" w14:textId="77777777" w:rsidR="007931D8" w:rsidRDefault="007931D8">
      <w:pPr>
        <w:pStyle w:val="a3"/>
      </w:pPr>
      <w:r>
        <w:t xml:space="preserve">　　所以，「這裡面，民族、民權、民生主義都有」，就是國父講的三民主義。好，〈子路篇〉一共有三十章，到這裡就一個階段的圓滿，下面就是〈憲問〉，〈子路章〉接下來就是〈憲問篇〉第十四，我們下一次就進入〈憲問篇〉第十四的學習。</w:t>
      </w:r>
      <w:r>
        <w:t xml:space="preserve"> </w:t>
      </w:r>
    </w:p>
    <w:p w14:paraId="7E2C8EAD" w14:textId="77777777" w:rsidR="007931D8" w:rsidRDefault="007931D8">
      <w:pPr>
        <w:pStyle w:val="a3"/>
      </w:pPr>
      <w:r>
        <w:t xml:space="preserve">　　好，這章書雪廬老人解釋得簡單，我們就學習到這裡。祝大家福慧增長，法喜充滿。阿彌陀佛！　　</w:t>
      </w:r>
    </w:p>
    <w:sectPr w:rsidR="00793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7DA3" w14:textId="77777777" w:rsidR="007931D8" w:rsidRDefault="007931D8" w:rsidP="00403542">
      <w:r>
        <w:separator/>
      </w:r>
    </w:p>
  </w:endnote>
  <w:endnote w:type="continuationSeparator" w:id="0">
    <w:p w14:paraId="665F3C2E" w14:textId="77777777" w:rsidR="007931D8" w:rsidRDefault="007931D8" w:rsidP="00403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1B98" w14:textId="77777777" w:rsidR="007931D8" w:rsidRDefault="007931D8" w:rsidP="00403542">
      <w:r>
        <w:separator/>
      </w:r>
    </w:p>
  </w:footnote>
  <w:footnote w:type="continuationSeparator" w:id="0">
    <w:p w14:paraId="693622AC" w14:textId="77777777" w:rsidR="007931D8" w:rsidRDefault="007931D8" w:rsidP="00403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42"/>
    <w:rsid w:val="00403542"/>
    <w:rsid w:val="007931D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23F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