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973E" w14:textId="77777777" w:rsidR="00FE2C7E" w:rsidRDefault="00FE2C7E">
      <w:r>
        <w:t xml:space="preserve">每日論語　　悟道法師主講　　（第三六三集）　　</w:t>
      </w:r>
      <w:r>
        <w:t>2019/11/20</w:t>
      </w:r>
      <w:r>
        <w:t xml:space="preserve">　　上海　　檔名：</w:t>
      </w:r>
      <w:r>
        <w:t xml:space="preserve">WD20-037-0363 </w:t>
      </w:r>
    </w:p>
    <w:p w14:paraId="07B7F82C" w14:textId="77777777" w:rsidR="00FE2C7E" w:rsidRDefault="00FE2C7E">
      <w:pPr>
        <w:pStyle w:val="a3"/>
      </w:pPr>
      <w:r>
        <w:t xml:space="preserve">　　諸位同學，大家早上好！我們繼續來學習雪廬老人的《論語講記》，〈憲問篇〉第一章第二段。</w:t>
      </w:r>
      <w:r>
        <w:t xml:space="preserve"> </w:t>
      </w:r>
    </w:p>
    <w:p w14:paraId="37B870E0" w14:textId="77777777" w:rsidR="00FE2C7E" w:rsidRDefault="00FE2C7E">
      <w:pPr>
        <w:pStyle w:val="a3"/>
      </w:pPr>
      <w:r>
        <w:t xml:space="preserve">　　【克。伐。怨。欲。不行焉。可以為仁矣。子曰。可以為難矣。仁。則吾不知也。】</w:t>
      </w:r>
      <w:r>
        <w:t xml:space="preserve"> </w:t>
      </w:r>
    </w:p>
    <w:p w14:paraId="39CF0064" w14:textId="77777777" w:rsidR="00FE2C7E" w:rsidRDefault="00FE2C7E">
      <w:pPr>
        <w:pStyle w:val="a3"/>
      </w:pPr>
      <w:r>
        <w:t xml:space="preserve">　　〈憲問篇〉第一章，「這段以下，沒說什麼人說的，就是另一章」。目前我們看到，它是跟上面「邦有道，穀；邦無道，穀，恥也」。合在一起看這個文意，雪廬老人講是另外一章。「可知道的仍是孔子弟子所問」，這就是孔子的弟子所問的，但是沒有說什麼人說的，因此雪廬老人講，這是另外一章。「有人說這還是原憲問，仍是同一章，因為問兩件事的緣故。」有人也有這樣的說法，就是這一段還是原憲問的，仍然是同一章，跟第一段同一章，因為問的是問兩件事的緣故。「《史記》云是子思，孔子的孫子也叫子思」，原憲的外號也叫子思。「這裡說是原憲說的，有道理」。</w:t>
      </w:r>
      <w:r>
        <w:t xml:space="preserve"> </w:t>
      </w:r>
    </w:p>
    <w:p w14:paraId="554ECCF3" w14:textId="77777777" w:rsidR="00FE2C7E" w:rsidRDefault="00FE2C7E">
      <w:pPr>
        <w:pStyle w:val="a3"/>
      </w:pPr>
      <w:r>
        <w:t xml:space="preserve">　　『克、伐、怨、欲』，「克伐怨欲四字是四件事，孔子之學注重仁字，必須有自己、有他人，不是只有一人，必須對人加厚，還有自己所願望的好事要給他。慈與安樂，悲與拔苦，都是指對方，仁也是指對方，仁包括很大，如一百人就有九十九位是對象」。這一百個人就有九十九位是仁的對象，比如說一百人我們自己在裡面，我們自己之外就是九十九位，這個都是我們行仁的對象。在佛法講慈悲，對眾生要慈悲。</w:t>
      </w:r>
      <w:r>
        <w:t xml:space="preserve"> </w:t>
      </w:r>
    </w:p>
    <w:p w14:paraId="4B197133" w14:textId="77777777" w:rsidR="00FE2C7E" w:rsidRDefault="00FE2C7E">
      <w:pPr>
        <w:pStyle w:val="a3"/>
      </w:pPr>
      <w:r>
        <w:t xml:space="preserve">　　「克，能勝過人」，克是克服，「喜好如此，《左傳》云：君子不欲多上人，比人高是大毛病」。這是引用《左傳》講的，就是勝過人，比別人高，常常要在別人上面。所以君子不欲多上人，一個君子他不會想在別人上面。比人高，總是自己比別人高這是大毛病，這個叫克。</w:t>
      </w:r>
      <w:r>
        <w:t xml:space="preserve"> </w:t>
      </w:r>
    </w:p>
    <w:p w14:paraId="2A189316" w14:textId="77777777" w:rsidR="00FE2C7E" w:rsidRDefault="00FE2C7E">
      <w:pPr>
        <w:pStyle w:val="a3"/>
      </w:pPr>
      <w:r>
        <w:t xml:space="preserve">　　「伐是自己辦好事」，攻伐的伐，伐是自己辦好事，「喜歡誇耀」，誇耀自己辦的好事。「孟之反不伐，非敢後也，馬不進也。」這在前面我們學習過，引用孟之反這個例子，他不伐就是不誇耀自己的功勞。戰爭打勝了他是最後一個，打仗他是最後一個跑，他講那不是他敢在後面，是馬跑不動，實際上是他的這種功勞。他自己都是戰爭走在前面，敗退走在最後面，他講不是我比其他的人勇敢，是馬不前進，跑不動。「不誇自己的功勞」，不誇耀自己的功勞。所以我們做了一些好事，也不要自己去誇張炫耀，這也是處世之道。「這些道理在亂世，就是保身之道」。特別在我們現在這個亂世，不要去誇耀自己，這是保身之道。「不管是否在亂世，這就是因果之道。」這個我們要學習，就是克制自己，不要去誇耀自己辦的好事。</w:t>
      </w:r>
      <w:r>
        <w:t xml:space="preserve"> </w:t>
      </w:r>
    </w:p>
    <w:p w14:paraId="0BCF7981" w14:textId="77777777" w:rsidR="00FE2C7E" w:rsidRDefault="00FE2C7E">
      <w:pPr>
        <w:pStyle w:val="a3"/>
      </w:pPr>
      <w:r>
        <w:t xml:space="preserve">　　「怨，怨恨別人對不起我」。像現在全世界到處都有這個怨，怨恨自己家人、怨恨社會、怨恨國家，這個怨就是仇恨。</w:t>
      </w:r>
      <w:r>
        <w:t xml:space="preserve"> </w:t>
      </w:r>
    </w:p>
    <w:p w14:paraId="3174FA6B" w14:textId="77777777" w:rsidR="00FE2C7E" w:rsidRDefault="00FE2C7E">
      <w:pPr>
        <w:pStyle w:val="a3"/>
      </w:pPr>
      <w:r>
        <w:t xml:space="preserve">　　「欲，看見一切，有貪戀之心。」就是有貪心，這就是說不行這四樁事情，不要有這四樁事情，不要有克、有伐、有怨、有欲。不要怨恨別人，也不要對一切有貪戀之心，也不要常常覺得比別人高，誇耀自己，不要這四樁事情。</w:t>
      </w:r>
      <w:r>
        <w:t xml:space="preserve"> </w:t>
      </w:r>
    </w:p>
    <w:p w14:paraId="6FB7A952" w14:textId="77777777" w:rsidR="00FE2C7E" w:rsidRDefault="00FE2C7E">
      <w:pPr>
        <w:pStyle w:val="a3"/>
      </w:pPr>
      <w:r>
        <w:lastRenderedPageBreak/>
        <w:t xml:space="preserve">　　『不行焉，可以為仁矣？』「不行，不起現行」，心裡不起這四樁事情表現在我們行為上，「不幹這四條。要是不幹這四條，可以算仁吧？這是活口氣。」沒有這四條這可以算仁吧？「假如問我們，我們要如何答覆？這四個字也有對象。若是在空屋中，就無所謂克伐怨欲了。」講這四個字也是有對象的，針對對象來講。如果在一個空屋子裡面，沒有對象，就無所謂克伐怨欲了，就沒有了，因此就是有對象。這是講這樣不犯這四條可以算仁吧？</w:t>
      </w:r>
      <w:r>
        <w:t xml:space="preserve"> </w:t>
      </w:r>
    </w:p>
    <w:p w14:paraId="73E78F72" w14:textId="77777777" w:rsidR="00FE2C7E" w:rsidRDefault="00FE2C7E">
      <w:pPr>
        <w:pStyle w:val="a3"/>
      </w:pPr>
      <w:r>
        <w:t xml:space="preserve">　　下面孔子的答覆，『子曰：可以為難矣』，「孔子說，你說的四條，是人情難做到的四條，很不容易。」這四條不容易做到，這是一般人情很難做到。「但是做到這四條，可算是君子了」。</w:t>
      </w:r>
      <w:r>
        <w:t xml:space="preserve"> </w:t>
      </w:r>
    </w:p>
    <w:p w14:paraId="1576EE8B" w14:textId="77777777" w:rsidR="00FE2C7E" w:rsidRDefault="00FE2C7E">
      <w:pPr>
        <w:pStyle w:val="a3"/>
      </w:pPr>
      <w:r>
        <w:t xml:space="preserve">　　「你們同學必須學這四字」，雪廬老人鼓勵大家要學這四個字，不要克、伐、怨、欲。「在二年之內」，在兩年之內，「吾曾為大家說：明夷走黑路，艮為山。」這是引用《易經》的艮卦，《易經》講明夷走黑路，艮為山。「要大家一律保守常態，凡事少動作，就不錯，一動就找麻煩，出亂子。」當時雪廬老人，也是以現前社會上的一個狀況給同學講，在這個時候大家一律保守常態，凡事少動作就不錯，一動就得找麻煩、就出亂子，就是不是動的時候。</w:t>
      </w:r>
      <w:r>
        <w:t xml:space="preserve"> </w:t>
      </w:r>
    </w:p>
    <w:p w14:paraId="0EAA1427" w14:textId="77777777" w:rsidR="00FE2C7E" w:rsidRDefault="00FE2C7E">
      <w:pPr>
        <w:pStyle w:val="a3"/>
      </w:pPr>
      <w:r>
        <w:t xml:space="preserve">　　『仁，則吾不知也』，「仁，則吾不知也」，這個不知，「不是孔子不懂仁，而是這四條若你說是仁，我看不太近似。」是這個意思，就還不完全是仁。</w:t>
      </w:r>
      <w:r>
        <w:t xml:space="preserve"> </w:t>
      </w:r>
    </w:p>
    <w:p w14:paraId="2DD3E4DA" w14:textId="77777777" w:rsidR="00FE2C7E" w:rsidRDefault="00FE2C7E">
      <w:pPr>
        <w:pStyle w:val="a3"/>
      </w:pPr>
      <w:r>
        <w:t xml:space="preserve">　　下面引用「阮元論仁篇」，阮元論仁篇就是討論仁它一篇文章裡面有講，「不行這四條是無損於人，不能有益於人」，這四條不做不會去損害人，但是也不能有益於人，「只是消極的小乘法，你個人好，與大家沒好處」。這就是講自己的修養、修為，個人好，像佛教裡面的小乘法，那都是克制自己的。你看五戒、八關齋戒、沙彌戒、比丘戒，那是小乘戒，那小乘戒都是要求自己。自己修好了對自己個人好，大家沒好處，只有自利，沒有利他。「學大乘，必須契機契理，大慈大悲才是契理，不合是不契機。例如佛是大慈大悲，琉璃王滅釋種，佛不管，目犍連不以為然，以神通藏五百人於缽，置於空中，最終也化為血水。今日之下，可為就為之，不可為，明年又一甲子，是一個大變化的時候，少說話，少動作為妙」。雪廬老人這一段勸大家要認清時事，在這個時候有很大的變化，少說話、少動作，不找麻煩，可以做就做，不可以做就不要做，這是講今天。</w:t>
      </w:r>
      <w:r>
        <w:t xml:space="preserve"> </w:t>
      </w:r>
    </w:p>
    <w:p w14:paraId="34FF3A04" w14:textId="77777777" w:rsidR="00FE2C7E" w:rsidRDefault="00FE2C7E">
      <w:pPr>
        <w:pStyle w:val="a3"/>
      </w:pPr>
      <w:r>
        <w:t xml:space="preserve">　　引用釋家族被琉璃王滅掉，佛他不管這個事情，目犍連不以為然，目犍連神通第一，他救了五百個人，他放了一個缽，用神通把那個缽放大，裝了五百個人置於空中，主要是避免刀兵劫。但是刀兵劫過了，以為這五百人獲救，結果往缽裡一看，這五百人都化為血水。這也是顯示定業沒有辦法去轉，所以一切都有前因後果，有這個定業。孔子講，仁，則吾不知，不是說孔子說不懂，主要是說這四條做到了，在佛法講是小乘法。但是仁不但要利益自己，也要利益別人，才能算仁。所以這四條做到了，你說是仁，孔子說不太近似，這個還不足稱為仁，可以稱為一個君子。</w:t>
      </w:r>
      <w:r>
        <w:t xml:space="preserve"> </w:t>
      </w:r>
    </w:p>
    <w:p w14:paraId="3E61757C" w14:textId="77777777" w:rsidR="00FE2C7E" w:rsidRDefault="00FE2C7E">
      <w:pPr>
        <w:pStyle w:val="a3"/>
      </w:pPr>
      <w:r>
        <w:t xml:space="preserve">　　「可以參考《集釋》的《焦氏筆乘》。」雪廬老人教我們可以去參考《論語集釋》，《集釋》是集我們歷朝歷代各家注解《論語》的。《集釋》裡面它有收集《焦氏筆乘》這個注解，雪廬老人給我們講可以去參考這個。</w:t>
      </w:r>
      <w:r>
        <w:t xml:space="preserve"> </w:t>
      </w:r>
    </w:p>
    <w:p w14:paraId="3BE4DB35" w14:textId="77777777" w:rsidR="00FE2C7E" w:rsidRDefault="00FE2C7E">
      <w:pPr>
        <w:pStyle w:val="a3"/>
      </w:pPr>
      <w:r>
        <w:lastRenderedPageBreak/>
        <w:t xml:space="preserve">　　好，今天我們就學習到這裡，〈憲問〉第一章第二段就講到這裡。下一次我們再來學習〈憲問篇〉第二章，祝大家福慧增長，法喜充滿。阿彌陀佛！　　</w:t>
      </w:r>
    </w:p>
    <w:sectPr w:rsidR="00FE2C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6DAF4" w14:textId="77777777" w:rsidR="00FE2C7E" w:rsidRDefault="00FE2C7E" w:rsidP="00100A0F">
      <w:r>
        <w:separator/>
      </w:r>
    </w:p>
  </w:endnote>
  <w:endnote w:type="continuationSeparator" w:id="0">
    <w:p w14:paraId="23D7B867" w14:textId="77777777" w:rsidR="00FE2C7E" w:rsidRDefault="00FE2C7E" w:rsidP="00100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5AA7E" w14:textId="77777777" w:rsidR="00FE2C7E" w:rsidRDefault="00FE2C7E" w:rsidP="00100A0F">
      <w:r>
        <w:separator/>
      </w:r>
    </w:p>
  </w:footnote>
  <w:footnote w:type="continuationSeparator" w:id="0">
    <w:p w14:paraId="6D299412" w14:textId="77777777" w:rsidR="00FE2C7E" w:rsidRDefault="00FE2C7E" w:rsidP="00100A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A0F"/>
    <w:rsid w:val="00100A0F"/>
    <w:rsid w:val="007931EE"/>
    <w:rsid w:val="00FE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F987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0A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0A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0A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0A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