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F946" w14:textId="77777777" w:rsidR="009C25ED" w:rsidRDefault="009C25ED">
      <w:r>
        <w:t xml:space="preserve">每日論語　　悟道法師主講　　（第三九七集）　　</w:t>
      </w:r>
      <w:r>
        <w:t>2019/12/24</w:t>
      </w:r>
      <w:r>
        <w:t xml:space="preserve">　　上海　　檔名：</w:t>
      </w:r>
      <w:r>
        <w:t xml:space="preserve">WD20-037-0397 </w:t>
      </w:r>
    </w:p>
    <w:p w14:paraId="7B84C286" w14:textId="77777777" w:rsidR="009C25ED" w:rsidRDefault="009C25ED">
      <w:pPr>
        <w:pStyle w:val="a3"/>
      </w:pPr>
      <w:r>
        <w:t xml:space="preserve">　　諸位同學，大家早上好！我們繼續來學習雪廬老人的《論語講記》，〈憲問篇〉第三十五章。</w:t>
      </w:r>
      <w:r>
        <w:t xml:space="preserve"> </w:t>
      </w:r>
    </w:p>
    <w:p w14:paraId="2F27958D" w14:textId="77777777" w:rsidR="009C25ED" w:rsidRDefault="009C25ED">
      <w:pPr>
        <w:pStyle w:val="a3"/>
      </w:pPr>
      <w:r>
        <w:t xml:space="preserve">　　【子曰。莫我知也夫。子貢曰。何為其莫知子也。子曰。不怨天。不尤人。下學而上達。知我者其天乎。】</w:t>
      </w:r>
      <w:r>
        <w:t xml:space="preserve"> </w:t>
      </w:r>
    </w:p>
    <w:p w14:paraId="1CA11A44" w14:textId="77777777" w:rsidR="009C25ED" w:rsidRDefault="009C25ED">
      <w:pPr>
        <w:pStyle w:val="a3"/>
      </w:pPr>
      <w:r>
        <w:t xml:space="preserve">　　『子曰：莫我知也夫。』「孔子說，我的情形別人都不知道，不逢知音。」</w:t>
      </w:r>
      <w:r>
        <w:t xml:space="preserve"> </w:t>
      </w:r>
    </w:p>
    <w:p w14:paraId="6B796696" w14:textId="77777777" w:rsidR="009C25ED" w:rsidRDefault="009C25ED">
      <w:pPr>
        <w:pStyle w:val="a3"/>
      </w:pPr>
      <w:r>
        <w:t xml:space="preserve">　　『子貢曰：何為其莫知子也。』「子貢以為孔子有徒弟，各國君主也都知道孔子，為什麼說沒有人知？」為什麼說沒有人知道孔子？「所以子貢說，怎麼夫子說沒有人知道您呢？」</w:t>
      </w:r>
      <w:r>
        <w:t xml:space="preserve"> </w:t>
      </w:r>
    </w:p>
    <w:p w14:paraId="2B617810" w14:textId="77777777" w:rsidR="009C25ED" w:rsidRDefault="009C25ED">
      <w:pPr>
        <w:pStyle w:val="a3"/>
      </w:pPr>
      <w:r>
        <w:t xml:space="preserve">　　『子曰：不怨天，不尤人』，「孔子說，不怨天，不尤人。為什麼不怨天？天有天命，到時，定下什麼事這樣便這樣」，到時候定下什麼事情，事情這樣便這樣，這是「天命如此，就得承受，再也不埋怨天，上天安排如何辦便如何辦」。「例如孔子一生並沒有辦壞事，先是死了兒子，最好的學生顏回也死了，什麼是天命？在陳絕糧，餓七天，孔子也絕不怨天，天命該如此。這誰做得到？君子才知天命，一般人不知，略遭不如意，就怨天無眼。」這是講，不是君子一般人他不知道天命，有一點點遭遇不如意就怨天，怨天無眼，我做這麼多好事，怎麼還有這樣的遭遇、不好的遭遇，不如意的果報，這是一般人。知天命的君子遭遇到什麼不如意，絕不會怨天，孔子在陳絕糧，孔子是聖人，還要遭遇這樣的果報，餓了七天，這是天命，天命該如此，孔子不怨天。</w:t>
      </w:r>
      <w:r>
        <w:t xml:space="preserve"> </w:t>
      </w:r>
    </w:p>
    <w:p w14:paraId="5547C31F" w14:textId="77777777" w:rsidR="009C25ED" w:rsidRDefault="009C25ED">
      <w:pPr>
        <w:pStyle w:val="a3"/>
      </w:pPr>
      <w:r>
        <w:t xml:space="preserve">　　「不尤人，某人對不起我，那我就對得起某人嗎？」這是我們常常會碰到的，有時候我們會怪某某人對我不好，我們就對得起他嗎？我們對他就很好嗎？「我對他有好處嗎？君子講省察責備自己，有人毀謗仲尼，孔子不怨，例如孔子對於陽貨、盜跖等，絕無怨尤對方的心。」陽貨也不是好人，盜跖是生性暴虐、橫行霸道。孔子對他們也沒有怨恨，只是不跟他交朋友，不跟他做朋友，但是心裡沒有怨恨對方的心。「我們既然不知自己，如何能知天命？這或許有人能做得到，下二句就難了。」</w:t>
      </w:r>
      <w:r>
        <w:t xml:space="preserve"> </w:t>
      </w:r>
    </w:p>
    <w:p w14:paraId="3D1556C7" w14:textId="77777777" w:rsidR="009C25ED" w:rsidRDefault="009C25ED">
      <w:pPr>
        <w:pStyle w:val="a3"/>
      </w:pPr>
      <w:r>
        <w:t xml:space="preserve">　　『下學而上達，知我者其天乎！』「在不怨天、不尤人時，自己仍然不變，俞伯牙終身不遇知己，後來遇到鍾子期，子期死後，俞伯牙碎琴便永不彈琴，這就不行了。」這裡舉出俞伯牙他是音樂家，終身沒有遇到知己的，也是沒有遇到知音，後來遇到鍾子期，鍾子期知道他，知音，知道他彈的琴，他懂得琴。但是鍾子期死了以後，俞伯牙琴就把它弄碎了，永遠不彈琴，他覺得再沒有遇到知音的人，不彈了，雪廬老人講這就不行了。這就跟孔子不一樣，孔子不怨天、不尤人，沒有人認識他，他自己仍然不變，自己沒有改變。俞伯牙沒有遇到知音，知音死了，他就永遠不再彈琴。如果孔子他還是彈，雖然不遇知音，他不會把琴碎掉不彈琴。「孔子沒人知道他，也要下學，一步步求學往上進，才能達到無上的境界。」孔子縱然沒有人知道他，沒有人認識他，他要不要繼續學？也要下學，一步步求學往上進，這樣才能達到無上的境界，在我們學佛來講才能成佛、成無上道。不管人家知不知道，自己求學總是往上進的。「孔子不論遭受什麼逆境還是求學」，並不是遇到逆境、挫折他就不求</w:t>
      </w:r>
      <w:r>
        <w:lastRenderedPageBreak/>
        <w:t>學，遇到逆境還是求學。「真知孔子之道者，只有天。」真正知道孔子之道的人，那只有天了。</w:t>
      </w:r>
      <w:r>
        <w:t xml:space="preserve"> </w:t>
      </w:r>
    </w:p>
    <w:p w14:paraId="76AED3F3" w14:textId="77777777" w:rsidR="009C25ED" w:rsidRDefault="009C25ED">
      <w:pPr>
        <w:pStyle w:val="a3"/>
      </w:pPr>
      <w:r>
        <w:t xml:space="preserve">　　「辦政治，孔子即使有門路也不幹，因為獲罪於天無所禱也。」辦政治這樁事情，孔子即使有門路他也不會幹，因為不如理不如法就獲罪於天，自己做錯了，獲罪於天，對於天就沒有什麼可以祈禱的，所以獲罪於天無所禱也，這是給陽貨講的。「陽貨要他出來從政，他也不幹。」陽貨要他走後門，走他這條後門，會給他弄個官位給他做，孔子不要，孔子要如理如法的他才會去做。如果沒有人認識他，「天命要我死便死，絕不枉道苟活。」天命是這樣的，不讓我出來我就不出來，要我死就死，也決定不枉道苟活，不違背道而活下去。從政不如理、不如法違背道的事情，他不會去做，沒有機會出來做官就不做了，這是孔子他的態度。「如何是積極，如何是消極，必須思考。」我們看到這樣，好像說孔子很消極，但是其實他對不好的方面、不如法的方面消極，但是對於如法、好的方面非常積極，這個我們必須去思考。所以《論語》一章書它的義理深廣，我們要不斷的去深入，受用無窮。</w:t>
      </w:r>
      <w:r>
        <w:t xml:space="preserve"> </w:t>
      </w:r>
    </w:p>
    <w:p w14:paraId="2C06124E" w14:textId="77777777" w:rsidR="009C25ED" w:rsidRDefault="009C25ED">
      <w:pPr>
        <w:pStyle w:val="a3"/>
      </w:pPr>
      <w:r>
        <w:t xml:space="preserve">　　好，我們今天這章書就學習到這裡。祝大家福慧增長，法喜充滿。阿彌陀佛！　　</w:t>
      </w:r>
    </w:p>
    <w:sectPr w:rsidR="009C25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15479" w14:textId="77777777" w:rsidR="009C25ED" w:rsidRDefault="009C25ED" w:rsidP="00112957">
      <w:r>
        <w:separator/>
      </w:r>
    </w:p>
  </w:endnote>
  <w:endnote w:type="continuationSeparator" w:id="0">
    <w:p w14:paraId="40AA0993" w14:textId="77777777" w:rsidR="009C25ED" w:rsidRDefault="009C25ED" w:rsidP="00112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64B59" w14:textId="77777777" w:rsidR="009C25ED" w:rsidRDefault="009C25ED" w:rsidP="00112957">
      <w:r>
        <w:separator/>
      </w:r>
    </w:p>
  </w:footnote>
  <w:footnote w:type="continuationSeparator" w:id="0">
    <w:p w14:paraId="767888CF" w14:textId="77777777" w:rsidR="009C25ED" w:rsidRDefault="009C25ED" w:rsidP="001129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57"/>
    <w:rsid w:val="00112957"/>
    <w:rsid w:val="007931EE"/>
    <w:rsid w:val="009C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F8F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29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29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29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29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