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BE62" w14:textId="77777777" w:rsidR="00351D17" w:rsidRDefault="00351D17">
      <w:r>
        <w:t xml:space="preserve">每日論語　　悟道法師主講　　（第四Ｏ一集）　　</w:t>
      </w:r>
      <w:r>
        <w:t>2019/12/28</w:t>
      </w:r>
      <w:r>
        <w:t xml:space="preserve">　　上海　　檔名：</w:t>
      </w:r>
      <w:r>
        <w:t xml:space="preserve">WD20-037-0401 </w:t>
      </w:r>
    </w:p>
    <w:p w14:paraId="3D0B9E94" w14:textId="77777777" w:rsidR="00351D17" w:rsidRDefault="00351D17">
      <w:pPr>
        <w:pStyle w:val="a3"/>
      </w:pPr>
      <w:r>
        <w:t xml:space="preserve">　　諸位同學，大家早上好！我們繼續來學習雪廬老人的《論語講記》，〈憲問篇〉第三十九章。</w:t>
      </w:r>
      <w:r>
        <w:t xml:space="preserve"> </w:t>
      </w:r>
    </w:p>
    <w:p w14:paraId="01CF59AE" w14:textId="77777777" w:rsidR="00351D17" w:rsidRDefault="00351D17">
      <w:pPr>
        <w:pStyle w:val="a3"/>
      </w:pPr>
      <w:r>
        <w:t xml:space="preserve">　　【子擊磬於衛。有荷蕢而過孔氏之門者。曰。有心哉。擊磬乎。既而曰。鄙哉。硜硜乎。莫己知也。斯己而已矣。深則厲。淺則揭。子曰。果哉。末之難矣。】</w:t>
      </w:r>
      <w:r>
        <w:t xml:space="preserve"> </w:t>
      </w:r>
    </w:p>
    <w:p w14:paraId="0AB00762" w14:textId="77777777" w:rsidR="00351D17" w:rsidRDefault="00351D17">
      <w:pPr>
        <w:pStyle w:val="a3"/>
      </w:pPr>
      <w:r>
        <w:t xml:space="preserve">　　「諸位聽《論語》，若一章不能開悟，縱使全部《論語》聽完，也沒用。見聞在你們個人，百聞不如一見，見聞很重要，見了必須問，一篇不知道必須問究竟。篇篇都知得究竟不可能，一、二篇透徹，眼力就不同於常人。悟了就容易，即使不悟也與其他人不同。但是悟了還須實行，若不實行，大學博士也不如一位粗工。如學醫必須有醫院實驗，否則是念死書沒有用。孔子尚且說吾不如老農、老圃，劉備尚且會種菜，何況孔子，怎麼不會？注子只供參考而已。《二十四史》所說未必都對，我們比起他們，我們是什麼人，我們就對了嗎？」</w:t>
      </w:r>
      <w:r>
        <w:t xml:space="preserve"> </w:t>
      </w:r>
    </w:p>
    <w:p w14:paraId="1E1803A9" w14:textId="77777777" w:rsidR="00351D17" w:rsidRDefault="00351D17">
      <w:pPr>
        <w:pStyle w:val="a3"/>
      </w:pPr>
      <w:r>
        <w:t xml:space="preserve">　　「如前章所說的，既辟世、辟地、辟色、辟言，後文說：作者七人矣。或許可以說指某人，但孔子沒說，就不必一定指某人。孔子並不反對隱者，孔子的時候有黃老，孔子不反對，到了孟子才反對，這就是孟子不及孔子的地方。孟子反對楊墨，那今日的馬克斯有什麼人反對？墨子兼愛，孟子譏為禽獸，今人有哪一個人說這個。」</w:t>
      </w:r>
      <w:r>
        <w:t xml:space="preserve"> </w:t>
      </w:r>
    </w:p>
    <w:p w14:paraId="1A5138B0" w14:textId="77777777" w:rsidR="00351D17" w:rsidRDefault="00351D17">
      <w:pPr>
        <w:pStyle w:val="a3"/>
      </w:pPr>
      <w:r>
        <w:t xml:space="preserve">　　「五四運動，正因為起於爭青島的愛國運動，卻有人利用它，成為文化運動。他們用的方法很多，沒有人覺悟，例如這東西都是毒，卻沒有人說。」</w:t>
      </w:r>
      <w:r>
        <w:t xml:space="preserve"> </w:t>
      </w:r>
    </w:p>
    <w:p w14:paraId="38F87B69" w14:textId="77777777" w:rsidR="00351D17" w:rsidRDefault="00351D17">
      <w:pPr>
        <w:pStyle w:val="a3"/>
      </w:pPr>
      <w:r>
        <w:t xml:space="preserve">　　「一切學說只要說出能維持公安都可保存，無非為了要大家安穩，大家安穩就是好事。人道敏政，地道敏樹，人道對政治要緊。以下都說隱士。」</w:t>
      </w:r>
      <w:r>
        <w:t xml:space="preserve"> </w:t>
      </w:r>
    </w:p>
    <w:p w14:paraId="2FA34792" w14:textId="77777777" w:rsidR="00351D17" w:rsidRDefault="00351D17">
      <w:pPr>
        <w:pStyle w:val="a3"/>
      </w:pPr>
      <w:r>
        <w:t xml:space="preserve">　　「古人的注子，或許古人懂，今人未必懂。」</w:t>
      </w:r>
      <w:r>
        <w:t xml:space="preserve"> </w:t>
      </w:r>
    </w:p>
    <w:p w14:paraId="25FD74B9" w14:textId="77777777" w:rsidR="00351D17" w:rsidRDefault="00351D17">
      <w:pPr>
        <w:pStyle w:val="a3"/>
      </w:pPr>
      <w:r>
        <w:t xml:space="preserve">　　『子擊磬於衛』，「子擊磬於衛，磬，懸著的磬，擊磬於衛，某一天孔子在衛國敲磬。鼓有擂、撾，磬可以嗎？不行，什麼緣故？你們自己想想。鼗鼓可以撥、擂、擊，不可說撾磬、擂磬。絲竹，你們或許知道聲音的變化，鼓、磬有宮商嗎？鼓無當於五聲，無鼓卻不能成樂。古人有彌衡擊鼓罵曹，唐明皇擊鼓，叫百花感動了盛開。」鼓不是在五音，但是沒有鼓不能成樂，所以也少不了鼓。</w:t>
      </w:r>
      <w:r>
        <w:t xml:space="preserve"> </w:t>
      </w:r>
    </w:p>
    <w:p w14:paraId="07739808" w14:textId="77777777" w:rsidR="00351D17" w:rsidRDefault="00351D17">
      <w:pPr>
        <w:pStyle w:val="a3"/>
      </w:pPr>
      <w:r>
        <w:t xml:space="preserve">　　『有荷蕢而過孔氏之門者』，「有荷蕢而過孔氏之門者，荷古作何」，就是如何的何，現在上面加一個草字頭。「蕢」，上面草字頭，下面一個富貴的貴，是「草器」。「《史記》云，用草編的簍或筐，不一定做什麼用，裝食、裝衣、裝草等都行。」這個蕢就是裝東西的一個竹器。「蕢古作凷」，古時候就是當中一個土字，「筐中盛土」，裝土的，「孔子說譬如為山，未成一簣」，盛土的一個器具、裝土的。「這個人所荷是什麼東西不知道，知道是荷一筐東西而已。」</w:t>
      </w:r>
      <w:r>
        <w:t xml:space="preserve"> </w:t>
      </w:r>
    </w:p>
    <w:p w14:paraId="789C0E92" w14:textId="77777777" w:rsidR="00351D17" w:rsidRDefault="00351D17">
      <w:pPr>
        <w:pStyle w:val="a3"/>
      </w:pPr>
      <w:r>
        <w:t xml:space="preserve">　　『曰：有心哉，擊磬乎？』「有心哉，擊磬乎，擊磬不是平常人，是一位有心人，孔子不能亂擊，遇到知音了。」</w:t>
      </w:r>
      <w:r>
        <w:t xml:space="preserve"> </w:t>
      </w:r>
    </w:p>
    <w:p w14:paraId="15E7E290" w14:textId="77777777" w:rsidR="00351D17" w:rsidRDefault="00351D17">
      <w:pPr>
        <w:pStyle w:val="a3"/>
      </w:pPr>
      <w:r>
        <w:lastRenderedPageBreak/>
        <w:t xml:space="preserve">　　『既而曰：鄙哉，硜硜乎』，「既而曰，等等時間。鄙哉，硜硜乎，吾從《史記》，硜硜是石頭聲，聲音很堅硬，不空虛，敲擊中間、緣邊都不同」，石頭互相撞擊發出來的聲音是硜硜，敲中間、敲旁邊聲音就不一樣。「磬聲是很堅強不變的聲音。硜重複」，硜硜，「意思是堅強啊堅強」。</w:t>
      </w:r>
      <w:r>
        <w:t xml:space="preserve"> </w:t>
      </w:r>
    </w:p>
    <w:p w14:paraId="7BEB7AF6" w14:textId="77777777" w:rsidR="00351D17" w:rsidRDefault="00351D17">
      <w:pPr>
        <w:pStyle w:val="a3"/>
      </w:pPr>
      <w:r>
        <w:t xml:space="preserve">　　『莫己知也，斯己而已矣』，「莫己知也，斯己而已矣。斯已古作斯己」，斯已古時候作斯己，「宋人改作已。己，自己」，己是自己，「已，是止也，說法不同。莫己知也，沒有人知道我。斯已而已矣，該完了就完了。聽磬者說：打磬的人，他不知道他自己，他要知道他自己，他就不這樣打法了。意思是不認識環境，光主張自己的，人家不知道。」</w:t>
      </w:r>
      <w:r>
        <w:t xml:space="preserve"> </w:t>
      </w:r>
    </w:p>
    <w:p w14:paraId="13D9289B" w14:textId="77777777" w:rsidR="00351D17" w:rsidRDefault="00351D17">
      <w:pPr>
        <w:pStyle w:val="a3"/>
      </w:pPr>
      <w:r>
        <w:t xml:space="preserve">　　『深則厲，淺則揭。』「深則厲，淺則揭，這是《詩經》上的話。聽磬者說了擊磬者不認識環境，下面再念二句詩。」「厲是石頭磨礪以須」，厲害的厲，磨礪以須。「揭是提著衣服，遇水淺就把衣服一提就過去。深了只提衣服不行，還須安放石頭，踏石頭過去。古人曰﹕十月成梁。遇深水一個過法，遇淺水一個過法，不一定。」這是古時候沒有橋梁，過溪，有的地方深，有的地方淺，淺的地方，衣服像我們現在穿海青、長衫一拉就跨過去了；遇到水深的只拉衣服不行，衣服還是會濕掉，要搬個石頭墊上去，再從石頭踏過去。這個就是深則厲，淺則揭。「你敲擊的磬聲一味硜硜然，擊由心出，不懂變化，你雖然有心，對現在時局不懂得。這位是一位隱者。」這一位是隱者（隱士），有學問的人，但是沒有出來做官。</w:t>
      </w:r>
      <w:r>
        <w:t xml:space="preserve"> </w:t>
      </w:r>
    </w:p>
    <w:p w14:paraId="0CF771E4" w14:textId="77777777" w:rsidR="00351D17" w:rsidRDefault="00351D17">
      <w:pPr>
        <w:pStyle w:val="a3"/>
      </w:pPr>
      <w:r>
        <w:t xml:space="preserve">　　「硜，也有果決強勁，果敢勇氣很強硬的意思。」</w:t>
      </w:r>
      <w:r>
        <w:t xml:space="preserve"> </w:t>
      </w:r>
    </w:p>
    <w:p w14:paraId="0BD8F86B" w14:textId="77777777" w:rsidR="00351D17" w:rsidRDefault="00351D17">
      <w:pPr>
        <w:pStyle w:val="a3"/>
      </w:pPr>
      <w:r>
        <w:t xml:space="preserve">　　『子曰：果哉，末之難矣。』「子曰：果哉，末之難矣，若人人強硬、果敢，還有什麼難辦的呢？孔子知其不可，雖不可，我還是這麼辦，什麼緣故呢？義之所在，一天就辦一天。」</w:t>
      </w:r>
      <w:r>
        <w:t xml:space="preserve"> </w:t>
      </w:r>
    </w:p>
    <w:p w14:paraId="1DBEEA61" w14:textId="77777777" w:rsidR="00351D17" w:rsidRDefault="00351D17">
      <w:pPr>
        <w:pStyle w:val="a3"/>
      </w:pPr>
      <w:r>
        <w:t xml:space="preserve">　　「問答，都是活口氣。你這位荷蕢者說話很果敢，很有決斷。若人人如此，那就沒有困難辦的事了。但是孔子也不是不果敢，否則為什麼知其不可而為之？又為什麼不受陽貨的薦舉？為什麼齊人饋女樂，就離開魯國？為什麼衛靈公問陳，孔子說只知俎豆之事，明日遂行？必得悟而圓解。我們只看一、二面，所以不會大開圓解。」</w:t>
      </w:r>
      <w:r>
        <w:t xml:space="preserve"> </w:t>
      </w:r>
    </w:p>
    <w:p w14:paraId="403245FB" w14:textId="77777777" w:rsidR="00351D17" w:rsidRDefault="00351D17">
      <w:pPr>
        <w:pStyle w:val="a3"/>
      </w:pPr>
      <w:r>
        <w:t xml:space="preserve">　　「我們夠不上求學，勉強夠上學。孔子提倡求學，學就不容易，可以共學，未可以適道；可以適道，未可與立；可與立，未可與權。權，唯有聖人懂。哪一件能這麼辦，哪一件不能辦，聖人能知。衛國亂了，孔子就知道由也死，柴也來，由，子路果敢，必殉難而死。孔子說，由也好勇過我。暴虎馮河的辦法，孔子不取，必也好謀以成。你們有一條悟了，就好辦。」</w:t>
      </w:r>
      <w:r>
        <w:t xml:space="preserve"> </w:t>
      </w:r>
    </w:p>
    <w:p w14:paraId="63B3979B" w14:textId="77777777" w:rsidR="00351D17" w:rsidRDefault="00351D17">
      <w:pPr>
        <w:pStyle w:val="a3"/>
      </w:pPr>
      <w:r>
        <w:t xml:space="preserve">　　好，今天這一章書我們就學習到這裡。祝大家福慧增長，法喜充滿。阿彌陀佛！　　</w:t>
      </w:r>
    </w:p>
    <w:sectPr w:rsidR="00351D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F6B5" w14:textId="77777777" w:rsidR="00351D17" w:rsidRDefault="00351D17" w:rsidP="00103F07">
      <w:r>
        <w:separator/>
      </w:r>
    </w:p>
  </w:endnote>
  <w:endnote w:type="continuationSeparator" w:id="0">
    <w:p w14:paraId="5116C1DB" w14:textId="77777777" w:rsidR="00351D17" w:rsidRDefault="00351D17" w:rsidP="00103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C6C7" w14:textId="77777777" w:rsidR="00351D17" w:rsidRDefault="00351D17" w:rsidP="00103F07">
      <w:r>
        <w:separator/>
      </w:r>
    </w:p>
  </w:footnote>
  <w:footnote w:type="continuationSeparator" w:id="0">
    <w:p w14:paraId="14CF3F76" w14:textId="77777777" w:rsidR="00351D17" w:rsidRDefault="00351D17" w:rsidP="00103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07"/>
    <w:rsid w:val="00103F07"/>
    <w:rsid w:val="00351D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5D1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