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D5B3" w14:textId="77777777" w:rsidR="00AB19C6" w:rsidRDefault="00AB19C6">
      <w:r>
        <w:t xml:space="preserve">每日論語　　悟道法師主講　　（第四一三集）　　</w:t>
      </w:r>
      <w:r>
        <w:t>2020/1/9</w:t>
      </w:r>
      <w:r>
        <w:t xml:space="preserve">　　台灣　　檔名：</w:t>
      </w:r>
      <w:r>
        <w:t xml:space="preserve">WD20-037-0413 </w:t>
      </w:r>
    </w:p>
    <w:p w14:paraId="730AE986" w14:textId="77777777" w:rsidR="00AB19C6" w:rsidRDefault="00AB19C6">
      <w:pPr>
        <w:pStyle w:val="a3"/>
      </w:pPr>
      <w:r>
        <w:t xml:space="preserve">　　諸位同學，大家早上好！我們繼續來學習雪廬老人的《論語講記》，〈衛靈公篇〉第七章。</w:t>
      </w:r>
      <w:r>
        <w:t xml:space="preserve"> </w:t>
      </w:r>
    </w:p>
    <w:p w14:paraId="04ADAE0C" w14:textId="77777777" w:rsidR="00AB19C6" w:rsidRDefault="00AB19C6">
      <w:pPr>
        <w:pStyle w:val="a3"/>
      </w:pPr>
      <w:r>
        <w:t xml:space="preserve">　　【子曰。直哉史魚。邦有道如矢。邦無道如矢。君子哉蘧伯玉。邦有道則仕。邦無道則可卷而懷之。】</w:t>
      </w:r>
      <w:r>
        <w:t xml:space="preserve"> </w:t>
      </w:r>
    </w:p>
    <w:p w14:paraId="15FAB949" w14:textId="77777777" w:rsidR="00AB19C6" w:rsidRDefault="00AB19C6">
      <w:pPr>
        <w:pStyle w:val="a3"/>
      </w:pPr>
      <w:r>
        <w:t xml:space="preserve">　　『子曰：直哉史魚，邦有道如矢，邦無道如矢。』「史魚是衛國人，名鰌，魚是他的字。」在水裡面游的魚，他的字是魚。這個鰌，左邊一個魚，右邊是酋，這是鰌，念「秋」。「孔子對人不輕易毀譽，有時隱惡揚善，談人的好處，對人有稱讚的時候。例如孔子曾說衛靈公之無道而能用某人等，所以衛國不滅亡。」</w:t>
      </w:r>
      <w:r>
        <w:t xml:space="preserve"> </w:t>
      </w:r>
    </w:p>
    <w:p w14:paraId="4EA2DE77" w14:textId="77777777" w:rsidR="00AB19C6" w:rsidRDefault="00AB19C6">
      <w:pPr>
        <w:pStyle w:val="a3"/>
      </w:pPr>
      <w:r>
        <w:t xml:space="preserve">　　「這一章是讚歎道德。史魚正直，其直如矢，國家有道時，史魚也是直，不曲折。國家無道時，別人危行言孫，他不如此，也是正直不改易。《孔子家語》說，衛靈公時，史魚臨將命終，囑告他的兒子，他生前不能進賢退不賢；向國君舉薦重用賢者蘧伯玉，不能斥退不賢者如彌子瑕。史魚覺得對不起國家，生前一切不合禮，死也該不合禮。男人壽終於正寢，女子壽終於內寢，男子若皓首窮經，老死牖下，不合禮。」男子如果老死了，遺體放在牖下（牖就是窗戶），這不合乎禮節。「停屍牖下是不合禮的地方」，屍體停放在那個地方不合乎禮。「例如孔子自牖執伯牛的手，也不合禮」，孔子去看冉伯牛，冉伯牛重病，孔子他是從窗戶去拉冉伯牛的手（就是牖），從窗戶這不合乎禮節。「所以史魚要他兒子將他停屍在牖下」，把他放在窗戶下面。「入棺曰殯，埋曰葬。靈公來弔唁，史魚的兒子告訴靈公，為什麼停靈牖下的緣故。衛靈公很自責，立刻舉用蘧伯玉，斥退彌子瑕，史魚這是尸諫。這像是曾子臨終的易簀。」雪廬老人給我們說明，這就是史魚他的尸諫，死了之後他還勸諫，生前勸，死後還勸，因為衛靈公他沒有採納史魚的推薦，史魚推薦蘧伯玉，沒有去斥退彌子瑕，所以死的時候用尸諫，再勸諫衛靈公。下面是讚歎蘧伯玉：</w:t>
      </w:r>
      <w:r>
        <w:t xml:space="preserve"> </w:t>
      </w:r>
    </w:p>
    <w:p w14:paraId="593D56DE" w14:textId="77777777" w:rsidR="00AB19C6" w:rsidRDefault="00AB19C6">
      <w:pPr>
        <w:pStyle w:val="a3"/>
      </w:pPr>
      <w:r>
        <w:t xml:space="preserve">　　『君子哉蘧伯玉，邦有道則仕，邦無道則可卷而懷之。』「蘧伯玉，邦有道則出來做官，邦無道則可卷懷之。卷，收也，如同一幅畫卷起來。腹中的文章、能力都收藏起來，一問三不知。現今的人是無而為有，好炫耀。」跟現在人不一樣，現在人自己沒有學問，喜歡炫耀自己。「懷，歸家也」，邦有道則出來做官，邦無道他就隱藏起來，他不出來，卷懷之。這個卷，好像一幅畫把它卷起來，就是他腹中的文章、能力都收藏起來，所以是卷懷之。懷，歸家也。「陶淵明歸去來兮，就是懷。」</w:t>
      </w:r>
      <w:r>
        <w:t xml:space="preserve"> </w:t>
      </w:r>
    </w:p>
    <w:p w14:paraId="213A621C" w14:textId="77777777" w:rsidR="00AB19C6" w:rsidRDefault="00AB19C6">
      <w:pPr>
        <w:pStyle w:val="a3"/>
      </w:pPr>
      <w:r>
        <w:t xml:space="preserve">　　「蘧伯玉的賢德，《列女傳．仁智篇》記載，衛靈公夫人（是不是南子，不可考），夫人也知道比量，根據蘧伯玉平常的德行來判斷，夜裡座車經過宮闕，會停下來走過去的，肯定是蘧伯玉。衛國不滅亡，確有能人。」這也是孔子讚歎的，這個蘧伯玉後來衛靈公也用了他，所以衛靈公他還是會用人。雖然他自己本身無道，但是他會用人，所以衛國在他那個時候不至於滅亡，確實有能力的人、有學問的人在幫助他。</w:t>
      </w:r>
      <w:r>
        <w:t xml:space="preserve"> </w:t>
      </w:r>
    </w:p>
    <w:p w14:paraId="57D28F62" w14:textId="77777777" w:rsidR="00AB19C6" w:rsidRDefault="00AB19C6">
      <w:pPr>
        <w:pStyle w:val="a3"/>
      </w:pPr>
      <w:r>
        <w:t xml:space="preserve">　　好，這章書我們就學習到這裡。這章書就是孔子讚歎，讚歎史魚他對衛國的忠心，到死了還勸諫國君，要用賢人，不能用不賢的人；讚歎蘧伯玉是一個君子，邦有</w:t>
      </w:r>
      <w:r>
        <w:lastRenderedPageBreak/>
        <w:t xml:space="preserve">道，出來做官，邦無道，他就卷起來、隱藏起來，就不出來了，不會炫耀，也不會跟人家爭。好，這章書我們就學習到這裡。祝大家福慧增長，法喜充滿。阿彌陀佛！　　</w:t>
      </w:r>
    </w:p>
    <w:sectPr w:rsidR="00AB19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08517" w14:textId="77777777" w:rsidR="00AB19C6" w:rsidRDefault="00AB19C6" w:rsidP="007616D0">
      <w:r>
        <w:separator/>
      </w:r>
    </w:p>
  </w:endnote>
  <w:endnote w:type="continuationSeparator" w:id="0">
    <w:p w14:paraId="1552C9B9" w14:textId="77777777" w:rsidR="00AB19C6" w:rsidRDefault="00AB19C6" w:rsidP="00761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BF92" w14:textId="77777777" w:rsidR="00AB19C6" w:rsidRDefault="00AB19C6" w:rsidP="007616D0">
      <w:r>
        <w:separator/>
      </w:r>
    </w:p>
  </w:footnote>
  <w:footnote w:type="continuationSeparator" w:id="0">
    <w:p w14:paraId="2128CC01" w14:textId="77777777" w:rsidR="00AB19C6" w:rsidRDefault="00AB19C6" w:rsidP="00761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D0"/>
    <w:rsid w:val="007616D0"/>
    <w:rsid w:val="007931EE"/>
    <w:rsid w:val="00AB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494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6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6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6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