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730F" w14:textId="77777777" w:rsidR="000B2BE6" w:rsidRDefault="000B2BE6">
      <w:r>
        <w:t xml:space="preserve">每日論語　　悟道法師主講　　（第四一五集）　　</w:t>
      </w:r>
      <w:r>
        <w:t>2020/1/11</w:t>
      </w:r>
      <w:r>
        <w:t xml:space="preserve">　　台灣　　檔名：</w:t>
      </w:r>
      <w:r>
        <w:t xml:space="preserve">WD20-037-0415 </w:t>
      </w:r>
    </w:p>
    <w:p w14:paraId="4231E2E9" w14:textId="77777777" w:rsidR="000B2BE6" w:rsidRDefault="000B2BE6">
      <w:pPr>
        <w:pStyle w:val="a3"/>
      </w:pPr>
      <w:r>
        <w:t xml:space="preserve">　　諸位同學，大家早上好！我們繼續來學習雪廬老人的《論語講記》，〈衛靈公篇〉第九章。</w:t>
      </w:r>
      <w:r>
        <w:t xml:space="preserve"> </w:t>
      </w:r>
    </w:p>
    <w:p w14:paraId="0EDAE408" w14:textId="77777777" w:rsidR="000B2BE6" w:rsidRDefault="000B2BE6">
      <w:pPr>
        <w:pStyle w:val="a3"/>
      </w:pPr>
      <w:r>
        <w:t xml:space="preserve">　　【子曰。志士仁人。無求生以害仁。有殺身以成仁。】</w:t>
      </w:r>
      <w:r>
        <w:t xml:space="preserve"> </w:t>
      </w:r>
    </w:p>
    <w:p w14:paraId="7E6AC325" w14:textId="77777777" w:rsidR="000B2BE6" w:rsidRDefault="000B2BE6">
      <w:pPr>
        <w:pStyle w:val="a3"/>
      </w:pPr>
      <w:r>
        <w:t xml:space="preserve">　　『子曰：志士仁人』，「漢儒主張志與智同」，志氣這個志，同志的志，與智慧的智相同，這是漢儒的主張，漢朝的大儒主張志與智同。「如鄭玄注：志，猶知也」，這是漢朝大儒鄭玄的注解，注解志，猶如智慧一樣。「漢石經為蔡中郎所寫，十分寶貴」，漢朝就有刻石經，經文刻在石頭上面，是為蔡中郎他所寫的，十分的寶貴。「為了怕戰亂，敗壞經典」，刻石經就是為了怕紙張如果遇到戰亂容易被燒毀，石頭就比較不容易被燒毀。但是「後來還是被董卓亂火焚毀，所以後來才有玩殘石者」。這殘留下來的石經，有人去玩殘石，有人有興趣就是找這些殘留下來的石經，一般就是喜歡古董的。「唐代的石經，後來遭到戰亂，也壞了。」到唐朝的時代的石經，後來遭到戰亂，也是被破壞。「泰山有經石峪，有全部的《金剛經》，魏時所書」，這是《金剛經》刻在石頭上，是魏朝那個時代所書的。「每字如拜墊大，是稀世寶物」，每一個字像我們現在這個拜墊這麼大，那是稀世的寶物。「石經上有這智士」，這個石經有智士（智慧的智，士農工商的士），「吾採這說法」，雪廬老人舉出石經它就有刻上這個智士。這裡講同智，這個智士同智慧，這個智士說法可以相通，所以雪廬老人他採這個說法。有智慧的士人，有智慧的讀書人，這個士就是讀</w:t>
      </w:r>
      <w:r>
        <w:t>聖賢書的人，以前社會分士農工商。</w:t>
      </w:r>
      <w:r>
        <w:t xml:space="preserve"> </w:t>
      </w:r>
    </w:p>
    <w:p w14:paraId="60CD6424" w14:textId="77777777" w:rsidR="000B2BE6" w:rsidRDefault="000B2BE6">
      <w:pPr>
        <w:pStyle w:val="a3"/>
      </w:pPr>
      <w:r>
        <w:t xml:space="preserve">　　「又害仁的仁，仁就是人字。」仁愛的仁，這個仁就是人，左邊是人字旁。「吾採取這個說法。這是仁者見仁，智者見智，不必與人辯論。」如果遇到有爭議，有人這個說法，有人那個說法，不必跟人家去辯論，各人見仁見智不同，不必辯論。</w:t>
      </w:r>
      <w:r>
        <w:t xml:space="preserve"> </w:t>
      </w:r>
    </w:p>
    <w:p w14:paraId="4287A31A" w14:textId="77777777" w:rsidR="000B2BE6" w:rsidRDefault="000B2BE6">
      <w:pPr>
        <w:pStyle w:val="a3"/>
      </w:pPr>
      <w:r>
        <w:t xml:space="preserve">　　「孔子說，智仁勇三達德，有智有仁，勇在何處呢？有智有仁就不必說勇了，如《易．繫辭》說：智者見智，仁者見仁，不說勇者見勇，其實智仁就已包括了。孔子又說：仁者必有勇，勇者不必有仁。」只要具備仁的心，這個當中就有勇，有勇的人他不一定有仁，「所以智仁就夠了」，就包括勇，就是智、仁、勇都包括了。</w:t>
      </w:r>
      <w:r>
        <w:t xml:space="preserve"> </w:t>
      </w:r>
    </w:p>
    <w:p w14:paraId="6888F71B" w14:textId="77777777" w:rsidR="000B2BE6" w:rsidRDefault="000B2BE6">
      <w:pPr>
        <w:pStyle w:val="a3"/>
      </w:pPr>
      <w:r>
        <w:t xml:space="preserve">　　「智士是有智慧的讀書人，仁人是有恕道的人。」心存忠恕的人。</w:t>
      </w:r>
      <w:r>
        <w:t xml:space="preserve"> </w:t>
      </w:r>
    </w:p>
    <w:p w14:paraId="697CBEC4" w14:textId="77777777" w:rsidR="000B2BE6" w:rsidRDefault="000B2BE6">
      <w:pPr>
        <w:pStyle w:val="a3"/>
      </w:pPr>
      <w:r>
        <w:t xml:space="preserve">　　『無求生以害仁』，「這兩種人，辦出來的事，志在智慧與仁，這智仁二字就是道，除此之外就看得輕。」道看得重，道以外，除了智跟仁，其他就要看得很輕。「人都以為生命要緊，其實不要緊，為什麼呢？有生必有死，自古以來沒有不死的人，生命如何寶貴也必須死，如孔聖人死，佛也示現有生有滅，自古都有死。」</w:t>
      </w:r>
      <w:r>
        <w:t xml:space="preserve"> </w:t>
      </w:r>
    </w:p>
    <w:p w14:paraId="71AF5DFC" w14:textId="77777777" w:rsidR="000B2BE6" w:rsidRDefault="000B2BE6">
      <w:pPr>
        <w:pStyle w:val="a3"/>
      </w:pPr>
      <w:r>
        <w:t xml:space="preserve">　　「人有人格，張三是人，李四也是人，人永遠不斷。所以只要變成人，有人的樣子，有人的格局。人的格，上下左右都可見，但是內裡有心，知人知面不知心，人都不知心」，不知道心，「所謂人面獸心」，人的樣子，人的臉面，但是心跟禽獸一樣。「鸚鵡能人言，不離飛禽」，鸚鵡也會學人講話，說人話，但是它是飛禽，沒有離開飛禽；「猩猩能言，不離走獸」，猩猩也能說人話，但是沒有離開走獸，所以鸚</w:t>
      </w:r>
      <w:r>
        <w:lastRenderedPageBreak/>
        <w:t>鵡、猩猩是禽獸這些動物。「這些都是有口無心的禽獸。道重而生命輕，天不變，道也不變，但是生命卻不能永久生，所以有智慧、有仁恕的人，貴在保存人格。若連人格都站不住，談不上是君子小人，那是禽獸，若無人格，人身難得。」如果沒有人格，來世要再得人身就很難了。「成佛容易，就在有人格。」有了人格成佛就容易，所以成佛還是在從做人、有人格開始。</w:t>
      </w:r>
      <w:r>
        <w:t xml:space="preserve"> </w:t>
      </w:r>
    </w:p>
    <w:p w14:paraId="6FB58541" w14:textId="77777777" w:rsidR="000B2BE6" w:rsidRDefault="000B2BE6">
      <w:pPr>
        <w:pStyle w:val="a3"/>
      </w:pPr>
      <w:r>
        <w:t xml:space="preserve">　　『有殺身以成仁。』「保存人格很重要，忠臣孝子不能失去人格。無求生以害人，可是有殺身以成仁」，這個殺身是身體的身，不是我們去殺動物那個殺生，殺身就是自己，自己犧牲自己的身體去成就仁，「可犧牲性命保存仁」。「孝子為父母，忠臣為國家，為著道而犧牲身子，要保存道。」</w:t>
      </w:r>
      <w:r>
        <w:t xml:space="preserve"> </w:t>
      </w:r>
    </w:p>
    <w:p w14:paraId="21C6006E" w14:textId="77777777" w:rsidR="000B2BE6" w:rsidRDefault="000B2BE6">
      <w:pPr>
        <w:pStyle w:val="a3"/>
      </w:pPr>
      <w:r>
        <w:t xml:space="preserve">　　「你們讀書，就要學這點。但是殺身並不是一定要犧牲生命，例如管仲未殺身，孔子也稱許他的仁，因為他將全部生命時間犧牲在事業上，保住中國文化。孔子說﹕微管仲，吾其被髮左衽矣。中國人有什麼好處？看西洋的風氣就可以知道了。若再完全西化，那將如何呢？所以維持人格，不必然要死，如諸葛亮鞠躬盡粹，死而後已，便是如此。」這個就是殺身成仁的意思，就是盡心盡力做到死而後已，為了仁，為了中國傳統文化，把自己的生命奉獻出來，這是殺身成仁，成就仁，成就人格。</w:t>
      </w:r>
      <w:r>
        <w:t xml:space="preserve"> </w:t>
      </w:r>
    </w:p>
    <w:p w14:paraId="440B5281" w14:textId="77777777" w:rsidR="000B2BE6" w:rsidRDefault="000B2BE6">
      <w:pPr>
        <w:pStyle w:val="a3"/>
      </w:pPr>
      <w:r>
        <w:t xml:space="preserve">　　「你們必須帶業往生，當生成就，迴向文說：盡此一報身，同生極樂國。只此一回報應，這不是當生是什麼？一報身便是當生成就。」我們這一生，盡這一次的報身，我們大家共同信願念佛往生極樂國土，這是當生成就的佛法。</w:t>
      </w:r>
      <w:r>
        <w:t xml:space="preserve"> </w:t>
      </w:r>
    </w:p>
    <w:p w14:paraId="0168F0D7" w14:textId="77777777" w:rsidR="000B2BE6" w:rsidRDefault="000B2BE6">
      <w:pPr>
        <w:pStyle w:val="a3"/>
      </w:pPr>
      <w:r>
        <w:t xml:space="preserve">　　好，這一章書我們就學習到這裡。祝大家福慧增長，法喜充滿。阿彌陀佛！　　</w:t>
      </w:r>
    </w:p>
    <w:sectPr w:rsidR="000B2B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E5345" w14:textId="77777777" w:rsidR="000B2BE6" w:rsidRDefault="000B2BE6" w:rsidP="000F1DF1">
      <w:r>
        <w:separator/>
      </w:r>
    </w:p>
  </w:endnote>
  <w:endnote w:type="continuationSeparator" w:id="0">
    <w:p w14:paraId="510531EE" w14:textId="77777777" w:rsidR="000B2BE6" w:rsidRDefault="000B2BE6" w:rsidP="000F1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F9DD8" w14:textId="77777777" w:rsidR="000B2BE6" w:rsidRDefault="000B2BE6" w:rsidP="000F1DF1">
      <w:r>
        <w:separator/>
      </w:r>
    </w:p>
  </w:footnote>
  <w:footnote w:type="continuationSeparator" w:id="0">
    <w:p w14:paraId="3D329F8D" w14:textId="77777777" w:rsidR="000B2BE6" w:rsidRDefault="000B2BE6" w:rsidP="000F1D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DF1"/>
    <w:rsid w:val="000B2BE6"/>
    <w:rsid w:val="000F1DF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901C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1D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1D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1D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1D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