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048B" w14:textId="77777777" w:rsidR="006C7EC1" w:rsidRDefault="006C7EC1">
      <w:r>
        <w:t xml:space="preserve">每日論語　　悟道法師主講　　（第四一九集）　　</w:t>
      </w:r>
      <w:r>
        <w:t>2020/1/15</w:t>
      </w:r>
      <w:r>
        <w:t xml:space="preserve">　　台灣　　檔名：</w:t>
      </w:r>
      <w:r>
        <w:t xml:space="preserve">WD20-037-0419 </w:t>
      </w:r>
    </w:p>
    <w:p w14:paraId="435E1273" w14:textId="77777777" w:rsidR="006C7EC1" w:rsidRDefault="006C7EC1">
      <w:pPr>
        <w:pStyle w:val="a3"/>
      </w:pPr>
      <w:r>
        <w:t xml:space="preserve">　　諸位同學，大家早上好！我們繼續來學習雪廬老人的《論語講記》，〈衛靈公篇〉第十三章。</w:t>
      </w:r>
      <w:r>
        <w:t xml:space="preserve"> </w:t>
      </w:r>
    </w:p>
    <w:p w14:paraId="0AF6AA56" w14:textId="77777777" w:rsidR="006C7EC1" w:rsidRDefault="006C7EC1">
      <w:pPr>
        <w:pStyle w:val="a3"/>
      </w:pPr>
      <w:r>
        <w:t xml:space="preserve">　　【子曰。已矣乎。吾未見好德如好色者也。】</w:t>
      </w:r>
      <w:r>
        <w:t xml:space="preserve"> </w:t>
      </w:r>
    </w:p>
    <w:p w14:paraId="33F14F94" w14:textId="77777777" w:rsidR="006C7EC1" w:rsidRDefault="006C7EC1">
      <w:pPr>
        <w:pStyle w:val="a3"/>
      </w:pPr>
      <w:r>
        <w:t xml:space="preserve">　　『子曰：已矣乎』，「已，停住了，無辦法了。矣就是如此。乎就是如此嗎？活口氣。」這章書第一句孔子說已矣乎，雪廬老人給我們講解。這三個字分開給我們講解，已是停住了，沒辦法了，已經的已。第二個字矣，這個矣字是就是如此、就是這樣。第三個字乎，就是如此嗎？就是如此嗎？這是活口氣，這個口氣他這個話是活的。「念了下文，就成死口氣」，死了，念了下文，「你學問成了功才可囫圇吞棗，打哈哈」。「甚至如文殊、維摩也默然，彼此明白。」這是雪廬老人講，我們學問成功了，才可以囫圇吞棗，打哈哈；如果學問沒有成功，那就不可以這樣，不能囫圇吞棗。所以這些都要深入的去理解，不能囫圇吞棗，這個棗吞下去了，什麼味道不知道，這叫囫圇吞棗。那我們學習這些經典，也不能像囫圇吞棗這樣，經是念了，甚至講了，沒有去深究，就如同那個棗吞下去，但是不知道什麼味道。所以每一個字都有它的意思在。舉出文殊、維摩、等覺菩薩，他們彼此默然，不用講大家都明白了，可以不用講。我們在學習，我們就不可以這樣，不明白一定要讓他真正明白，這樣才是做學問的一個態度。</w:t>
      </w:r>
      <w:r>
        <w:t xml:space="preserve"> </w:t>
      </w:r>
    </w:p>
    <w:p w14:paraId="4B86AC4B" w14:textId="77777777" w:rsidR="006C7EC1" w:rsidRDefault="006C7EC1">
      <w:pPr>
        <w:pStyle w:val="a3"/>
      </w:pPr>
      <w:r>
        <w:t xml:space="preserve">　　下面講『吾未見好德如好色者也。』「吾未見好德如好色者也，這是世間法，食色性也，但是一下生就好色了嗎？一下生就吃乳，就是食性。」自然的他就需要飲食，食性，所以食色性也，這是食性。「一下生就男貪著女，女貪著男嗎？」那是不是我們人一生下來就男的會去貪著女的，女的會去貪著男的嗎？這個地方我們要搞清楚，但是講食色性也，它這個習性在佛門講，「愛不重不生娑婆」，愛這個字，「好色不就是愛色？」這個好不是說就是愛色。「不好色不投胎。」這個是講到一個根本的問題，我們來投胎，為什麼來投胎？這個在佛經裡面就講了很多，沒有好色這個意念，就不會來投胎，不會來六道輪迴，所以愛不重不生娑婆。愛色這是到成年之後，就明顯的男貪著女，女貪著男。但是基本上好色這個色性跟食性，在六道裡面眾生都離不開這個。所以孔子講，食色性也，在講世間法，你沒有出六道就是世間，世間的眾生離不開食色這個習性。離不開，所以食性、色性，食色性也是這個意思。這個就講得深入了。</w:t>
      </w:r>
      <w:r>
        <w:t xml:space="preserve"> </w:t>
      </w:r>
    </w:p>
    <w:p w14:paraId="088C96AF" w14:textId="77777777" w:rsidR="006C7EC1" w:rsidRDefault="006C7EC1">
      <w:pPr>
        <w:pStyle w:val="a3"/>
      </w:pPr>
      <w:r>
        <w:t xml:space="preserve">　　「上論〈子罕篇〉有這章文，但那一章文沒有已矣乎」。《論語》上論就是上半部，〈子罕篇〉同樣有這章經文，但是那一章的經文沒有已矣乎這三個字，所以這三個字加上去，那意思就不一樣。</w:t>
      </w:r>
      <w:r>
        <w:t xml:space="preserve"> </w:t>
      </w:r>
    </w:p>
    <w:p w14:paraId="147D7E76" w14:textId="77777777" w:rsidR="006C7EC1" w:rsidRDefault="006C7EC1">
      <w:pPr>
        <w:pStyle w:val="a3"/>
      </w:pPr>
      <w:r>
        <w:t xml:space="preserve">　　「有注解說，這指齊國餽女樂予魯國，季桓子與魯君趨往觀看，所以孔子說這一章。」這是有一種注解，它是這個說法。是指齊國餽贈女樂（女子樂團）給魯國，季桓子他與魯君一起同往去觀看。所以孔子才說這一章書，這是有一種注解是這樣的說法。「〈子罕篇〉注解，引《史記》，衛靈公與南子同車，孔子第二車，招搖過市。」〈子罕篇〉的注解引用《史記》的記載，記載衛靈公與南子（他的夫人）坐同一部車，孔子他是坐第二部車，這樣招搖過市。「但是除孔子之外，誰也不知道這一</w:t>
      </w:r>
      <w:r>
        <w:lastRenderedPageBreak/>
        <w:t>章是指什麼。」但是除孔子他本人之外，誰也不知道他講這一章書是指什麼，是指魯國國君嗎？還是指衛國的衛靈公？我們都不知道。所以這些注解，雪廬老人講「這些都是揣測之詞，不必如此呆板。」那個只是在揣測，揣測孔子他為什麼講這章書，我們不必如此呆板的看，這是雪廬老人給我們指點。「你們必須知道，遇見什麼事就是什麼事。」我們必須要知道，遇見什麼事情就是什麼事情，不必另加揣測。</w:t>
      </w:r>
      <w:r>
        <w:t xml:space="preserve"> </w:t>
      </w:r>
    </w:p>
    <w:p w14:paraId="2D6921E7" w14:textId="77777777" w:rsidR="006C7EC1" w:rsidRDefault="006C7EC1">
      <w:pPr>
        <w:pStyle w:val="a3"/>
      </w:pPr>
      <w:r>
        <w:t xml:space="preserve">　　「子夏也說：賢賢易色，與這一章相同。若是好德，身修、家齊、國治。若好色，最終一切保存不住，查看歷史就可以知道，這二句包括一切。」這一章書，一個好德、一個好色。孔子講，他沒見過有好德的人就如同好色一樣，好德就像好色那樣。如果是好德，喜好修德行，如同好色那樣的心，這樣身修、家齊、國治，必定修身、齊家、治國、平天下，這是好德的結果；如果好色，最終一切保存不住。我們看看歷史就知道，有史以來中國、外國沒有例外的。如果君王或者是以下的，一直到庶民好色，最後一切都保存不住。他的國家、一般人的事業，也都無法保存，都會敗光。好色的禍害非常的嚴重，我們看《安士全書．欲海回狂》，看看這些歷史、因果報應的這些公案就可以知道，還有印光祖師提倡的《壽康寶鑒》。所以雪廬老人講，查看歷史就可以知道了，這個結果是不同的，好德好色結果不一樣。好德，這個是前途光明，好色那就前途是黑暗的。</w:t>
      </w:r>
      <w:r>
        <w:t xml:space="preserve"> </w:t>
      </w:r>
    </w:p>
    <w:p w14:paraId="354654C3" w14:textId="77777777" w:rsidR="006C7EC1" w:rsidRDefault="006C7EC1">
      <w:pPr>
        <w:pStyle w:val="a3"/>
      </w:pPr>
      <w:r>
        <w:t xml:space="preserve">　　好，這章書我們就學習到這裡。祝大家福慧增長，法喜充滿。阿彌陀佛！　　</w:t>
      </w:r>
    </w:p>
    <w:sectPr w:rsidR="006C7E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1EF43" w14:textId="77777777" w:rsidR="006C7EC1" w:rsidRDefault="006C7EC1" w:rsidP="004B725D">
      <w:r>
        <w:separator/>
      </w:r>
    </w:p>
  </w:endnote>
  <w:endnote w:type="continuationSeparator" w:id="0">
    <w:p w14:paraId="606458A4" w14:textId="77777777" w:rsidR="006C7EC1" w:rsidRDefault="006C7EC1" w:rsidP="004B7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5FB96" w14:textId="77777777" w:rsidR="006C7EC1" w:rsidRDefault="006C7EC1" w:rsidP="004B725D">
      <w:r>
        <w:separator/>
      </w:r>
    </w:p>
  </w:footnote>
  <w:footnote w:type="continuationSeparator" w:id="0">
    <w:p w14:paraId="5F95F1E5" w14:textId="77777777" w:rsidR="006C7EC1" w:rsidRDefault="006C7EC1" w:rsidP="004B72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5D"/>
    <w:rsid w:val="004B725D"/>
    <w:rsid w:val="006C7EC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623D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72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72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72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72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