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D9340" w14:textId="77777777" w:rsidR="003436CF" w:rsidRDefault="003436CF">
      <w:r>
        <w:t xml:space="preserve">每日論語　　悟道法師主講　　（第四二二集）　　</w:t>
      </w:r>
      <w:r>
        <w:t>2020/1/18</w:t>
      </w:r>
      <w:r>
        <w:t xml:space="preserve">　　台灣　　檔名：</w:t>
      </w:r>
      <w:r>
        <w:t xml:space="preserve">WD20-037-0422 </w:t>
      </w:r>
    </w:p>
    <w:p w14:paraId="69569F24" w14:textId="77777777" w:rsidR="003436CF" w:rsidRDefault="003436CF">
      <w:pPr>
        <w:pStyle w:val="a3"/>
      </w:pPr>
      <w:r>
        <w:t xml:space="preserve">　　諸位同學，大家早上好！我們繼續來學習雪廬老人的《論語講記》，〈衛靈公篇〉第十六章。</w:t>
      </w:r>
      <w:r>
        <w:t xml:space="preserve"> </w:t>
      </w:r>
    </w:p>
    <w:p w14:paraId="3B241E51" w14:textId="77777777" w:rsidR="003436CF" w:rsidRDefault="003436CF">
      <w:pPr>
        <w:pStyle w:val="a3"/>
      </w:pPr>
      <w:r>
        <w:t xml:space="preserve">　　【子曰。不曰如之何。如之何者。吾末如之何也已矣。】</w:t>
      </w:r>
      <w:r>
        <w:t xml:space="preserve"> </w:t>
      </w:r>
    </w:p>
    <w:p w14:paraId="73ABD507" w14:textId="77777777" w:rsidR="003436CF" w:rsidRDefault="003436CF">
      <w:pPr>
        <w:pStyle w:val="a3"/>
      </w:pPr>
      <w:r>
        <w:t xml:space="preserve">　　「這一章都是虛字，很難講。有人說，第一個如之何處是一句」，如之何，到這一處是一句，「其實三句如之何都一樣。為了什麼事而說，我們不知道。」</w:t>
      </w:r>
      <w:r>
        <w:t xml:space="preserve"> </w:t>
      </w:r>
    </w:p>
    <w:p w14:paraId="221851F3" w14:textId="77777777" w:rsidR="003436CF" w:rsidRDefault="003436CF">
      <w:pPr>
        <w:pStyle w:val="a3"/>
      </w:pPr>
      <w:r>
        <w:t xml:space="preserve">　　『子曰：不曰如之何，如之何者』，「如之何是老言語。不曰，你沒聽說過嗎？」不曰，就是你沒聽說過嗎？「有一句老言語，你沒聽說過嗎？」</w:t>
      </w:r>
      <w:r>
        <w:t xml:space="preserve"> </w:t>
      </w:r>
    </w:p>
    <w:p w14:paraId="1A0C9A0B" w14:textId="77777777" w:rsidR="003436CF" w:rsidRDefault="003436CF">
      <w:pPr>
        <w:pStyle w:val="a3"/>
      </w:pPr>
      <w:r>
        <w:t xml:space="preserve">　　「如之，就像這樣子。何，何如，就像這樣子該怎麼樣呢？如之何者，假若古人這句如之何，到了這句話怎麼辦呢？沒辦法就要找聖人，聖人也沒辦法，孔子說我也沒辦法。」</w:t>
      </w:r>
      <w:r>
        <w:t xml:space="preserve"> </w:t>
      </w:r>
    </w:p>
    <w:p w14:paraId="707E4566" w14:textId="77777777" w:rsidR="003436CF" w:rsidRDefault="003436CF">
      <w:pPr>
        <w:pStyle w:val="a3"/>
      </w:pPr>
      <w:r>
        <w:t xml:space="preserve">　　『吾末如之何也已矣。』</w:t>
      </w:r>
      <w:r>
        <w:t xml:space="preserve"> </w:t>
      </w:r>
    </w:p>
    <w:p w14:paraId="37395D1B" w14:textId="77777777" w:rsidR="003436CF" w:rsidRDefault="003436CF">
      <w:pPr>
        <w:pStyle w:val="a3"/>
      </w:pPr>
      <w:r>
        <w:t xml:space="preserve">　　「自己遠慮，慮不到，又不領教人。」自己沒有長遠的思慮，考慮不到，又不向人請教。領教就是領受，向人請教，領受別人的指導。「好人的話你不聽，只聽壞人的話，或是好人的話不聽，又不受命，這就沒辦法。」話不聽又不接受，不接受好人他的勸導，這就沒有辦法了。</w:t>
      </w:r>
      <w:r>
        <w:t xml:space="preserve"> </w:t>
      </w:r>
    </w:p>
    <w:p w14:paraId="2EB5A2CF" w14:textId="77777777" w:rsidR="003436CF" w:rsidRDefault="003436CF">
      <w:pPr>
        <w:pStyle w:val="a3"/>
      </w:pPr>
      <w:r>
        <w:t xml:space="preserve">　　「台中也有人有如此難處。」這是雪廬老人舉出當時在台中，也有人遇到這樣的一個困難之處。「不領教人，自己辦。辦錯了不定就出亂子，若出亂子，自己想辦法也可以。」不向人領教，那就自己辦（辦事），自己辦，辦錯了可能就會出亂子。如果出了亂子，自己想辦法去處理善後也可以。「否則，不怕事也可以。」不怕麻煩那就自己辦。「若弄糟糕了，再找別人，推給別人，別人為你弄不好，就怨恨別人」，那就不行了。如果自己把這個事辦糟了、辦錯了，出亂子了，然後再去找別人幫忙，再把這個責任推給別人，別人也為你弄不好，這個時候就怨恨別人。「弄糟糕了，孔子末如之何也已矣」，那如果是這樣的話，孔子說「找我就可以了嗎？」那我也沒辦法。</w:t>
      </w:r>
      <w:r>
        <w:t xml:space="preserve"> </w:t>
      </w:r>
    </w:p>
    <w:p w14:paraId="0933BC6A" w14:textId="77777777" w:rsidR="003436CF" w:rsidRDefault="003436CF">
      <w:pPr>
        <w:pStyle w:val="a3"/>
      </w:pPr>
      <w:r>
        <w:t xml:space="preserve">　　「天下本無事，庸人自擾之。若庸人自甘庸奴，就該少辦事少言語，也可少出亂子。」如果自己有自知之明，知道自己是庸人，就自己甘心做一個庸人，就該少辦事、少言語，話少說、事情少辦一些，這樣亂子出得也少。「既沒讀過書」，這個書是指聖賢書，「又不領教人」，又不向人請教，「而且不聽老人言，又有什麼辦法呢？」這是現在這個時代的確這個現象，特別年輕一代的不聽老人言，年輕人認為什麼都比老人懂得多、比老人強，那實際上自己不懂的地方非常的多。不向人請教，又不聽老人言，自己去辦，自己去闖，不定就出了亂子，這又有什麼辦法？孔子說他也沒辦法了，如果遇到這樣他也沒辦法。</w:t>
      </w:r>
      <w:r>
        <w:t xml:space="preserve"> </w:t>
      </w:r>
    </w:p>
    <w:p w14:paraId="20CFE07D" w14:textId="77777777" w:rsidR="003436CF" w:rsidRDefault="003436CF">
      <w:pPr>
        <w:pStyle w:val="a3"/>
      </w:pPr>
      <w:r>
        <w:lastRenderedPageBreak/>
        <w:t xml:space="preserve">　　這章書主要就是我們自己如果不懂，那就要向人請教，而且要聽老人言，不能不聽老人言。老人有經驗，他能夠把經驗傳授給我們，我們就可以避免去走一些冤枉路，就可以避免出亂子。</w:t>
      </w:r>
      <w:r>
        <w:t xml:space="preserve"> </w:t>
      </w:r>
    </w:p>
    <w:p w14:paraId="61E3D4CE" w14:textId="77777777" w:rsidR="003436CF" w:rsidRDefault="003436CF">
      <w:pPr>
        <w:pStyle w:val="a3"/>
      </w:pPr>
      <w:r>
        <w:t xml:space="preserve">　　好，這章書我們就學習到這裡。祝大家福慧增長，法喜充滿。阿彌陀佛！　　</w:t>
      </w:r>
    </w:p>
    <w:sectPr w:rsidR="003436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70C3A" w14:textId="77777777" w:rsidR="003436CF" w:rsidRDefault="003436CF" w:rsidP="000D3FD1">
      <w:r>
        <w:separator/>
      </w:r>
    </w:p>
  </w:endnote>
  <w:endnote w:type="continuationSeparator" w:id="0">
    <w:p w14:paraId="7C680D0C" w14:textId="77777777" w:rsidR="003436CF" w:rsidRDefault="003436CF" w:rsidP="000D3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B58D9" w14:textId="77777777" w:rsidR="003436CF" w:rsidRDefault="003436CF" w:rsidP="000D3FD1">
      <w:r>
        <w:separator/>
      </w:r>
    </w:p>
  </w:footnote>
  <w:footnote w:type="continuationSeparator" w:id="0">
    <w:p w14:paraId="0F56ADCF" w14:textId="77777777" w:rsidR="003436CF" w:rsidRDefault="003436CF" w:rsidP="000D3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FD1"/>
    <w:rsid w:val="000D3FD1"/>
    <w:rsid w:val="003436C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EDB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3F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3F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3F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3F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