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C4EB" w14:textId="77777777" w:rsidR="003822D4" w:rsidRDefault="003822D4">
      <w:r>
        <w:t xml:space="preserve">每日論語　　悟道法師主講　　（第四二四集）　　</w:t>
      </w:r>
      <w:r>
        <w:t>2020/1/20</w:t>
      </w:r>
      <w:r>
        <w:t xml:space="preserve">　　台灣　　檔名：</w:t>
      </w:r>
      <w:r>
        <w:t xml:space="preserve">WD20-037-0424 </w:t>
      </w:r>
    </w:p>
    <w:p w14:paraId="28232BA9" w14:textId="77777777" w:rsidR="003822D4" w:rsidRDefault="003822D4">
      <w:pPr>
        <w:pStyle w:val="a3"/>
      </w:pPr>
      <w:r>
        <w:t xml:space="preserve">　　諸位同學，大家早上好！我們繼續來學習雪廬老人的《論語講記》，〈衛靈公篇〉第十八章。</w:t>
      </w:r>
      <w:r>
        <w:t xml:space="preserve"> </w:t>
      </w:r>
    </w:p>
    <w:p w14:paraId="684EC663" w14:textId="77777777" w:rsidR="003822D4" w:rsidRDefault="003822D4">
      <w:pPr>
        <w:pStyle w:val="a3"/>
      </w:pPr>
      <w:r>
        <w:t xml:space="preserve">　　【子曰。君子義以為質。禮以行之。孫以出之。信以成之。君子哉。】</w:t>
      </w:r>
      <w:r>
        <w:t xml:space="preserve"> </w:t>
      </w:r>
    </w:p>
    <w:p w14:paraId="311DB58F" w14:textId="77777777" w:rsidR="003822D4" w:rsidRDefault="003822D4">
      <w:pPr>
        <w:pStyle w:val="a3"/>
      </w:pPr>
      <w:r>
        <w:t xml:space="preserve">　　「古人的書並不是沒有錯簡，這一章有數種說法。」</w:t>
      </w:r>
      <w:r>
        <w:t xml:space="preserve"> </w:t>
      </w:r>
    </w:p>
    <w:p w14:paraId="5BCAF083" w14:textId="77777777" w:rsidR="003822D4" w:rsidRDefault="003822D4">
      <w:pPr>
        <w:pStyle w:val="a3"/>
      </w:pPr>
      <w:r>
        <w:t xml:space="preserve">　　『子曰：君子』，「首先說君子，有人說這多餘，是疊三加五。今日報紙的文章，像是蓋四十八層樓了」。</w:t>
      </w:r>
      <w:r>
        <w:t xml:space="preserve"> </w:t>
      </w:r>
    </w:p>
    <w:p w14:paraId="1379A8F6" w14:textId="77777777" w:rsidR="003822D4" w:rsidRDefault="003822D4">
      <w:pPr>
        <w:pStyle w:val="a3"/>
      </w:pPr>
      <w:r>
        <w:t xml:space="preserve">　　「《韓李筆解》所解釋的，本來很多處都是改經，但是這章所解釋的有意思，認為一章經文有二個君子無妨。」首先這一章書，第一句子曰：君子，有人說這個君子是多餘，講了兩個君子。但是《韓李筆解》所解釋的，這章所解釋的有意思，認為一章經文有兩個君子也無妨。</w:t>
      </w:r>
      <w:r>
        <w:t xml:space="preserve"> </w:t>
      </w:r>
    </w:p>
    <w:p w14:paraId="3D5390E7" w14:textId="77777777" w:rsidR="003822D4" w:rsidRDefault="003822D4">
      <w:pPr>
        <w:pStyle w:val="a3"/>
      </w:pPr>
      <w:r>
        <w:t xml:space="preserve">　　『義以為質』，「先講本體，辦事以義。義是事之宜也，看著該辦，見義就為。因為義是本質，看到該辦，就犧牲一切辦法。但是哪一樣是該辦與否呢？這就難知了」。</w:t>
      </w:r>
      <w:r>
        <w:t xml:space="preserve"> </w:t>
      </w:r>
    </w:p>
    <w:p w14:paraId="49EAB5D9" w14:textId="77777777" w:rsidR="003822D4" w:rsidRDefault="003822D4">
      <w:pPr>
        <w:pStyle w:val="a3"/>
      </w:pPr>
      <w:r>
        <w:t xml:space="preserve">　　『禮以行之』，「禮定的很明白，例如：有人掉入水中，那是應該救他；能泅水的人，自可入水去救」，能夠泅水、能夠游泳的人，看到人掉到水裡，他有這能力，他會游泳，自然可以到水裡面去救。「否則，就該同歸於盡嗎？」這個否則就是說，那如果你不會游泳，那你要跳下去救，不但人救不起來，自己也淹死了，跟掉到水裡的人同歸於盡了，那就應該同歸於盡嗎？「這種做法不對。可以請他人來救。」這可以請別人，能夠游泳的人來救，這樣才合理。「若是父母，則又另一個辦法。看曹娥碑的故事便可以知道。所以說：禮以行之。道之以德，行之以禮，以禮做標準，依禮做去。這是君子的行動。」</w:t>
      </w:r>
      <w:r>
        <w:t xml:space="preserve"> </w:t>
      </w:r>
    </w:p>
    <w:p w14:paraId="4C4F2E0F" w14:textId="77777777" w:rsidR="003822D4" w:rsidRDefault="003822D4">
      <w:pPr>
        <w:pStyle w:val="a3"/>
      </w:pPr>
      <w:r>
        <w:t xml:space="preserve">　　『孫以出之』，「辦時必須孫以出之，辦得好也不能驕傲，例如孟之反的不伐就是孫。孫，遜也。」這裡這個孫字就是謙遜的遜，再加一個走字旁，就是遜。所以這裡孫就是遜的意思。「應謙恭的辦出來。」</w:t>
      </w:r>
      <w:r>
        <w:t xml:space="preserve"> </w:t>
      </w:r>
    </w:p>
    <w:p w14:paraId="14A6C254" w14:textId="77777777" w:rsidR="003822D4" w:rsidRDefault="003822D4">
      <w:pPr>
        <w:pStyle w:val="a3"/>
      </w:pPr>
      <w:r>
        <w:t xml:space="preserve">　　『信以成之』，「上來是根本，最後是信以成之結束，全始全終才是信，所以說信以成之」。</w:t>
      </w:r>
      <w:r>
        <w:t xml:space="preserve"> </w:t>
      </w:r>
    </w:p>
    <w:p w14:paraId="5C79D1ED" w14:textId="77777777" w:rsidR="003822D4" w:rsidRDefault="003822D4">
      <w:pPr>
        <w:pStyle w:val="a3"/>
      </w:pPr>
      <w:r>
        <w:t xml:space="preserve">　　『君子哉。』「人如此做事，不愧為君子，所以說君子哉。」</w:t>
      </w:r>
      <w:r>
        <w:t xml:space="preserve"> </w:t>
      </w:r>
    </w:p>
    <w:p w14:paraId="487760E4" w14:textId="77777777" w:rsidR="003822D4" w:rsidRDefault="003822D4">
      <w:pPr>
        <w:pStyle w:val="a3"/>
      </w:pPr>
      <w:r>
        <w:t xml:space="preserve">　　「李曰：上云君子者，舉古之君子也。下云君子哉者，言今之學者，能依此次序，乃能成君子耳。開頭的君子是古時的君子」，古時候的君子，「如何辦如何辦」。古時候的君子，他如何辦如何辦，辦事。「下文的君子是照如此辦就是今之君子。」現代，現在，照如此辦就是照這樣辦，照古時候的君子這樣辦，就是今天的君子。</w:t>
      </w:r>
      <w:r>
        <w:t xml:space="preserve"> </w:t>
      </w:r>
    </w:p>
    <w:p w14:paraId="26CCE4F8" w14:textId="77777777" w:rsidR="003822D4" w:rsidRDefault="003822D4">
      <w:pPr>
        <w:pStyle w:val="a3"/>
      </w:pPr>
      <w:r>
        <w:lastRenderedPageBreak/>
        <w:t xml:space="preserve">　　好，這章書雪廬老人給我們講，就是信以成之，最後是以信以成之來結束，全始全終才是信，所以說信以成之。人能夠照這樣做，就是一個君子，不愧為一個君子，所以說君子哉。</w:t>
      </w:r>
      <w:r>
        <w:t xml:space="preserve"> </w:t>
      </w:r>
    </w:p>
    <w:p w14:paraId="1D78C547" w14:textId="77777777" w:rsidR="003822D4" w:rsidRDefault="003822D4">
      <w:pPr>
        <w:pStyle w:val="a3"/>
      </w:pPr>
      <w:r>
        <w:t xml:space="preserve">　　好，這章書我們就學習到這裡。祝大家福慧增長，法喜充滿。阿彌陀佛！　　</w:t>
      </w:r>
    </w:p>
    <w:sectPr w:rsidR="003822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424DC" w14:textId="77777777" w:rsidR="003822D4" w:rsidRDefault="003822D4" w:rsidP="00266A0C">
      <w:r>
        <w:separator/>
      </w:r>
    </w:p>
  </w:endnote>
  <w:endnote w:type="continuationSeparator" w:id="0">
    <w:p w14:paraId="287463FA" w14:textId="77777777" w:rsidR="003822D4" w:rsidRDefault="003822D4" w:rsidP="00266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259C8" w14:textId="77777777" w:rsidR="003822D4" w:rsidRDefault="003822D4" w:rsidP="00266A0C">
      <w:r>
        <w:separator/>
      </w:r>
    </w:p>
  </w:footnote>
  <w:footnote w:type="continuationSeparator" w:id="0">
    <w:p w14:paraId="0080D318" w14:textId="77777777" w:rsidR="003822D4" w:rsidRDefault="003822D4" w:rsidP="00266A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0C"/>
    <w:rsid w:val="00266A0C"/>
    <w:rsid w:val="003822D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B8D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6A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6A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6A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6A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