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5DA9" w14:textId="77777777" w:rsidR="003C5C9E" w:rsidRDefault="003C5C9E">
      <w:r>
        <w:t xml:space="preserve">每日論語　　悟道法師主講　　（第四二九集）　　</w:t>
      </w:r>
      <w:r>
        <w:t>2020/1/25</w:t>
      </w:r>
      <w:r>
        <w:t xml:space="preserve">　　台灣　　檔名：</w:t>
      </w:r>
      <w:r>
        <w:t xml:space="preserve">WD20-037-0429 </w:t>
      </w:r>
    </w:p>
    <w:p w14:paraId="1E5E1050" w14:textId="77777777" w:rsidR="003C5C9E" w:rsidRDefault="003C5C9E">
      <w:pPr>
        <w:pStyle w:val="a3"/>
      </w:pPr>
      <w:r>
        <w:t xml:space="preserve">　　諸位同學，大家早上好。我們繼續來學習雪廬老人的《論語講記》，〈衛靈公篇〉第二十三章。</w:t>
      </w:r>
      <w:r>
        <w:t xml:space="preserve"> </w:t>
      </w:r>
    </w:p>
    <w:p w14:paraId="19A48077" w14:textId="77777777" w:rsidR="003C5C9E" w:rsidRDefault="003C5C9E">
      <w:pPr>
        <w:pStyle w:val="a3"/>
      </w:pPr>
      <w:r>
        <w:t xml:space="preserve">　　【子曰。君子不以言舉人。不以人廢言。】</w:t>
      </w:r>
      <w:r>
        <w:t xml:space="preserve"> </w:t>
      </w:r>
    </w:p>
    <w:p w14:paraId="56E11FEF" w14:textId="77777777" w:rsidR="003C5C9E" w:rsidRDefault="003C5C9E">
      <w:pPr>
        <w:pStyle w:val="a3"/>
      </w:pPr>
      <w:r>
        <w:t xml:space="preserve">　　『子曰：君子不以言舉人』，「舉人，包括朝廷、小機關、商店等，都不是一人能辦，必須有幫手。用一個人必須有介紹人，如介紹工友。舉用的人當得好是對得起你，幹不好，你必須負責，大小同一道理，治國更是如此，這一章公私都有用。」</w:t>
      </w:r>
      <w:r>
        <w:t xml:space="preserve"> </w:t>
      </w:r>
    </w:p>
    <w:p w14:paraId="1592F156" w14:textId="77777777" w:rsidR="003C5C9E" w:rsidRDefault="003C5C9E">
      <w:pPr>
        <w:pStyle w:val="a3"/>
      </w:pPr>
      <w:r>
        <w:t xml:space="preserve">　　「君子不以言舉人，不可因為他談得有理，所謂有言者不必有德，有德者必有言。那要如何舉人？從前薦人，書信裡首先必須有品學兼優的字眼，若沒有品字，那人家不會接受，介紹時要以德舉人。若他來要求我薦舉，而我不願舉薦，在說許多好話中，就是不提及品，人家便知道我們不是誠心舉薦。」</w:t>
      </w:r>
      <w:r>
        <w:t xml:space="preserve"> </w:t>
      </w:r>
    </w:p>
    <w:p w14:paraId="41413E18" w14:textId="77777777" w:rsidR="003C5C9E" w:rsidRDefault="003C5C9E">
      <w:pPr>
        <w:pStyle w:val="a3"/>
      </w:pPr>
      <w:r>
        <w:t xml:space="preserve">　　『不以人廢言』。「雖然言語不能舉人，又要不以人廢言。這二句全在言上，上句是言不可聽，下句是言又不可不聽。下句雖是壞人，所說的話也不能一概不聽，如蘇秦、張儀的言語，也並非全不可取。不能因為人不好，所說的話好，而不聽他的話。壞人也有說好話的時候，而好人也有說錯話的。張獻忠祭文昌帝君張亞子，有人寫祭文，好囉嗦，都不如他的意，張獻忠自己說：你也姓張，我也姓張，咱們連個宗！尚饗，這話不忘本，也算是好話。張獻忠立七殺碑，說天生萬物以養民，這話不錯，人無一善以報天，真正不錯，怎麼辦？說了前頭，後頭總得有辦法，殺殺殺殺殺殺殺」，講了七個殺字，「真是要言不煩。所以人都有可採取的言語。」</w:t>
      </w:r>
      <w:r>
        <w:t xml:space="preserve"> </w:t>
      </w:r>
    </w:p>
    <w:p w14:paraId="7EF7EDFD" w14:textId="77777777" w:rsidR="003C5C9E" w:rsidRDefault="003C5C9E">
      <w:pPr>
        <w:pStyle w:val="a3"/>
      </w:pPr>
      <w:r>
        <w:t xml:space="preserve">　　這章書主要就是說，「君子不以言舉人」，舉薦人講的話，如果沒有品這個字，品就是品學兼優，這個品就我們一般講的品德。「有言者不必有德，有德者必有言」。講話，會講話的人，他不一定有道德、有德行，有德行的人也必定有言。所以舉薦人就要以這個做準則，就是如果推薦人沒有提到這個人他品學兼優。就是他的品德很好，學問也很好，那人家聽到了，知道品學兼優就會採用。如果沒有提到品，雖然講了很多很多好話，就是沒有提到這個人他的品德很好，那人家就知道，這個推薦不是誠心舉薦的。因為這個人可能他沒有品德，這個人就不好用，這是不以言舉人。</w:t>
      </w:r>
      <w:r>
        <w:t xml:space="preserve"> </w:t>
      </w:r>
    </w:p>
    <w:p w14:paraId="087209DC" w14:textId="77777777" w:rsidR="003C5C9E" w:rsidRDefault="003C5C9E">
      <w:pPr>
        <w:pStyle w:val="a3"/>
      </w:pPr>
      <w:r>
        <w:t xml:space="preserve">　　下一句是「不以人廢言」，這是兩句，都是在言，這個言，上一句是「言不可聽」，沒有提到品學兼優那就不可以聽。下面一句這是言又不可以不聽，雖然是壞人，他說的話是對的也要聽，也不能一概的不聽。所以舉出幾個例子來給我們說明，某某人很不好，但是他講的話是對的，我們也要聽。因為他的話是正確的，聽了對我們就有幫助，不能不聽，不聽對我們就沒有幫助。所以壞人講好話，我們要聽，有時候好人偶爾也會講錯話。所以不以人廢言，不能說這個某人不好，他講的話是對的，我們也不聽，這是不對。他人不好，講的話是對的，我們還是要採取，因為採取對我們有利益，對大家有利益。</w:t>
      </w:r>
      <w:r>
        <w:t xml:space="preserve"> </w:t>
      </w:r>
    </w:p>
    <w:p w14:paraId="19F0F5A5" w14:textId="77777777" w:rsidR="003C5C9E" w:rsidRDefault="003C5C9E">
      <w:pPr>
        <w:pStyle w:val="a3"/>
      </w:pPr>
      <w:r>
        <w:t xml:space="preserve">　　好，這章書我們就學習到這裡。祝大家福慧增長，法喜充滿。阿彌陀佛！　　</w:t>
      </w:r>
    </w:p>
    <w:sectPr w:rsidR="003C5C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0E357" w14:textId="77777777" w:rsidR="003C5C9E" w:rsidRDefault="003C5C9E" w:rsidP="00586088">
      <w:r>
        <w:separator/>
      </w:r>
    </w:p>
  </w:endnote>
  <w:endnote w:type="continuationSeparator" w:id="0">
    <w:p w14:paraId="099CA18D" w14:textId="77777777" w:rsidR="003C5C9E" w:rsidRDefault="003C5C9E" w:rsidP="0058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AA51" w14:textId="77777777" w:rsidR="003C5C9E" w:rsidRDefault="003C5C9E" w:rsidP="00586088">
      <w:r>
        <w:separator/>
      </w:r>
    </w:p>
  </w:footnote>
  <w:footnote w:type="continuationSeparator" w:id="0">
    <w:p w14:paraId="58279F7B" w14:textId="77777777" w:rsidR="003C5C9E" w:rsidRDefault="003C5C9E" w:rsidP="00586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88"/>
    <w:rsid w:val="003C5C9E"/>
    <w:rsid w:val="0058608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6EC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60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0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0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0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