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1ADA" w14:textId="77777777" w:rsidR="00DE63E2" w:rsidRDefault="00DE63E2">
      <w:r>
        <w:t xml:space="preserve">每日論語　　悟道法師主講　　（第四三九集）　　</w:t>
      </w:r>
      <w:r>
        <w:t>2020/2/4</w:t>
      </w:r>
      <w:r>
        <w:t xml:space="preserve">　　台灣　　檔名：</w:t>
      </w:r>
      <w:r>
        <w:t xml:space="preserve">WD20-037-0439 </w:t>
      </w:r>
    </w:p>
    <w:p w14:paraId="4249F696" w14:textId="77777777" w:rsidR="00DE63E2" w:rsidRDefault="00DE63E2">
      <w:pPr>
        <w:pStyle w:val="a3"/>
      </w:pPr>
      <w:r>
        <w:t xml:space="preserve">　　諸位同學，大家早上好！我們繼續來學習雪廬老人的《論語講記》，〈衛靈公篇〉第三十三章。</w:t>
      </w:r>
      <w:r>
        <w:t xml:space="preserve"> </w:t>
      </w:r>
    </w:p>
    <w:p w14:paraId="2A85A6B8" w14:textId="77777777" w:rsidR="00DE63E2" w:rsidRDefault="00DE63E2">
      <w:pPr>
        <w:pStyle w:val="a3"/>
      </w:pPr>
      <w:r>
        <w:t xml:space="preserve">　　【子曰。知及之。仁不能守之。雖得之必失之。知及之。仁能守之。不莊以蒞之。則民不敬。知及之。仁能守之。莊以蒞之。動之不以禮。未善也。】</w:t>
      </w:r>
      <w:r>
        <w:t xml:space="preserve"> </w:t>
      </w:r>
    </w:p>
    <w:p w14:paraId="6459AC98" w14:textId="77777777" w:rsidR="00DE63E2" w:rsidRDefault="00DE63E2">
      <w:pPr>
        <w:pStyle w:val="a3"/>
      </w:pPr>
      <w:r>
        <w:t xml:space="preserve">　　「改書是大毛病，講不通時可以存疑，因為從前竹簡為書，有錯簡的時候。」</w:t>
      </w:r>
      <w:r>
        <w:t xml:space="preserve"> </w:t>
      </w:r>
    </w:p>
    <w:p w14:paraId="5F3F358F" w14:textId="77777777" w:rsidR="00DE63E2" w:rsidRDefault="00DE63E2">
      <w:pPr>
        <w:pStyle w:val="a3"/>
      </w:pPr>
      <w:r>
        <w:t xml:space="preserve">　　「這一章書就很難講。知及之，仁不能守之，仁有人懷疑是錯誤，但不敢改，朱子喜好改，但是在這一章沒有改。有人說，與上章合為一章。這二種說法都可以。」</w:t>
      </w:r>
      <w:r>
        <w:t xml:space="preserve"> </w:t>
      </w:r>
    </w:p>
    <w:p w14:paraId="16F68FD6" w14:textId="77777777" w:rsidR="00DE63E2" w:rsidRDefault="00DE63E2">
      <w:pPr>
        <w:pStyle w:val="a3"/>
      </w:pPr>
      <w:r>
        <w:t xml:space="preserve">　　『子曰：知及之，仁不能守之，雖得之必失之。』「知及之，仁不能守之，這是指在位者，有國家有責任者，為什麼能得國得官？因為有此智惠能得到，但不是就永遠得到。周朝有八百年之長，但也倒多少次霉。」倒霉也有很多次，雖然有八百年這麼長的時間。「知及之有智慧能得到，仁不能守之，既然得到了，為什麼不能守？這是因為知及之而不能以仁守之」。得到了，得到了國家，得到了地位，不能以仁（仁愛這個仁）來守之。「雖得到也很快再失去」，不以仁來守之，這樣很快也會再失去了。「如武王死了，若無周公，就不能接繼。看歷史必須有覺悟，需要有人才，若以智慧得到，又以仁守住，便得以好。」「凡得天下，不動刀兵者少，篡位也是如此殺」，都是要動刀兵、動干戈的，篡位也是，也是動刀兵的，「呂后、武則天也亂殺，百姓倒霉，不擇手段得到」。「但是用強暴的手段得到，卻必須逆得而順守，以順順當當的仁政，才能守得住。」就是得到天下，這個是逆得，是用強暴、用武力、用不擇手段得到，這是逆得，不是順得。但是逆得也必須以順順當當的仁政，要實行仁政，你這個政權才能守得住。如果不依仁政，那也守不住，也會再失去了。</w:t>
      </w:r>
      <w:r>
        <w:t xml:space="preserve"> </w:t>
      </w:r>
    </w:p>
    <w:p w14:paraId="0BF8B2E7" w14:textId="77777777" w:rsidR="00DE63E2" w:rsidRDefault="00DE63E2">
      <w:pPr>
        <w:pStyle w:val="a3"/>
      </w:pPr>
      <w:r>
        <w:t xml:space="preserve">　　『知及之，仁能守之，不莊以蒞之，則民不敬。』「仁能守之」，道德仁義這個仁能夠守，能夠守住。守住了，「若不能莊以蒞之，莊，莊敬。莊敬臨之，以莊則敬，顏色溫和，容貌恭敬，就足夠了，這便是莊，不需要笑。蒞，臨也。所謂君子有三變，望之儼然，即之也溫，君子極為溫和，聽其言也厲，聽他說話很規矩，絕不開玩笑。你們也需常看報紙，電影也可以看，可以觀風氣。」雪廬老人給我們講，也需要常看看報紙，電影也可以看，因為可以觀察社會風氣。「一般憲政雜誌，沒有引人做壞的文字，也沒有誨淫誨盜的文章。」這是一般憲政雜誌，政府發的這些憲政雜誌，沒有引人做壞的文字，也沒有誨淫誨盜的這種文章。報紙、電影我們可以觀察這一個時代社會上的風氣。</w:t>
      </w:r>
      <w:r>
        <w:t xml:space="preserve"> </w:t>
      </w:r>
    </w:p>
    <w:p w14:paraId="5EF3F732" w14:textId="77777777" w:rsidR="00DE63E2" w:rsidRDefault="00DE63E2">
      <w:pPr>
        <w:pStyle w:val="a3"/>
      </w:pPr>
      <w:r>
        <w:t xml:space="preserve">　　『知及之，仁能守之，莊以蒞之，動之不以禮，未善也。』「知及之，仁能守之，莊以蒞之，都能辦到了，若動之不以禮，未善也。」知及之，有智慧得天下了，又有仁能守住，再以莊來蒞臨之、來對人民，都能辦到了。最後一個，若動之不以禮，未善也，就是說這個當中如果沒有以這個禮，那就不圓滿了。「孔子說博文約禮，要齊之以禮，以禮整齊一切。子夏說：禮後乎？不是禮不重要，若不合乎禮，就不算美滿。恭敬是好事，恭而無禮則勞，人家三鞠躬，我們若四鞠躬，便不合乎禮，</w:t>
      </w:r>
      <w:r>
        <w:lastRenderedPageBreak/>
        <w:t>雙方勞苦。你要勞苦，那是自找，受禮的人也勞苦，不接受不行，就是雙方倒霉。學這個不照辦沒有用，所以未善也。」</w:t>
      </w:r>
      <w:r>
        <w:t xml:space="preserve"> </w:t>
      </w:r>
    </w:p>
    <w:p w14:paraId="505F2A9B" w14:textId="77777777" w:rsidR="00DE63E2" w:rsidRDefault="00DE63E2">
      <w:pPr>
        <w:pStyle w:val="a3"/>
      </w:pPr>
      <w:r>
        <w:t xml:space="preserve">　　「吾要你們學歷史、四書、《常禮舉要》，若覺得《常禮舉要》以為太簡單，可看〈曲禮〉，再看《禮記》，再念三禮，實在說只要記得住〈曲禮〉就足夠了。」這雪廬老人勉勵我們怎麼來學禮，所以雪廬老人特別重視歷史、四書，還有他編的《常禮舉要》。如果我們覺得《常禮舉要》太簡單了，可以去看〈曲禮〉，再看《禮記》，再念三禮，實在講記得住〈曲禮〉就足夠了。那我們現在一個《常禮舉要》就夠我們學了，我們還是從《常禮舉要》來學習，再深入〈曲禮〉。</w:t>
      </w:r>
      <w:r>
        <w:t xml:space="preserve"> </w:t>
      </w:r>
    </w:p>
    <w:p w14:paraId="6DF2564C" w14:textId="77777777" w:rsidR="00DE63E2" w:rsidRDefault="00DE63E2">
      <w:pPr>
        <w:pStyle w:val="a3"/>
      </w:pPr>
      <w:r>
        <w:t xml:space="preserve">　　好，這章書我們就學習到這裡。祝大家福慧增長，法喜充滿。阿彌陀佛！　　</w:t>
      </w:r>
    </w:p>
    <w:sectPr w:rsidR="00DE63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9D16" w14:textId="77777777" w:rsidR="00DE63E2" w:rsidRDefault="00DE63E2" w:rsidP="00E723B8">
      <w:r>
        <w:separator/>
      </w:r>
    </w:p>
  </w:endnote>
  <w:endnote w:type="continuationSeparator" w:id="0">
    <w:p w14:paraId="32CDCF3F" w14:textId="77777777" w:rsidR="00DE63E2" w:rsidRDefault="00DE63E2" w:rsidP="00E7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49D38" w14:textId="77777777" w:rsidR="00DE63E2" w:rsidRDefault="00DE63E2" w:rsidP="00E723B8">
      <w:r>
        <w:separator/>
      </w:r>
    </w:p>
  </w:footnote>
  <w:footnote w:type="continuationSeparator" w:id="0">
    <w:p w14:paraId="18D5A16E" w14:textId="77777777" w:rsidR="00DE63E2" w:rsidRDefault="00DE63E2" w:rsidP="00E72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B8"/>
    <w:rsid w:val="007931EE"/>
    <w:rsid w:val="00DE63E2"/>
    <w:rsid w:val="00E7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8D5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3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3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3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3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