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5FA79" w14:textId="77777777" w:rsidR="00747A07" w:rsidRDefault="00747A07">
      <w:r>
        <w:t xml:space="preserve">每日論語　　悟道法師主講　　（第四四一集）　　</w:t>
      </w:r>
      <w:r>
        <w:t>2020/2/6</w:t>
      </w:r>
      <w:r>
        <w:t xml:space="preserve">　　台灣　　檔名：</w:t>
      </w:r>
      <w:r>
        <w:t xml:space="preserve">WD20-037-0441 </w:t>
      </w:r>
    </w:p>
    <w:p w14:paraId="0AF6DF8F" w14:textId="77777777" w:rsidR="00747A07" w:rsidRDefault="00747A07">
      <w:pPr>
        <w:pStyle w:val="a3"/>
      </w:pPr>
      <w:r>
        <w:t xml:space="preserve">　　諸位同學，大家早上好！我們繼續來學習雪廬老人的《論語講記》，〈衛靈公篇〉第三十五章。</w:t>
      </w:r>
      <w:r>
        <w:t xml:space="preserve"> </w:t>
      </w:r>
    </w:p>
    <w:p w14:paraId="3BEB1E22" w14:textId="77777777" w:rsidR="00747A07" w:rsidRDefault="00747A07">
      <w:pPr>
        <w:pStyle w:val="a3"/>
      </w:pPr>
      <w:r>
        <w:t xml:space="preserve">　　【子曰。民之於仁也。甚於水火。水火吾見蹈而死者矣。未見蹈仁而死者也。】</w:t>
      </w:r>
      <w:r>
        <w:t xml:space="preserve"> </w:t>
      </w:r>
    </w:p>
    <w:p w14:paraId="45EFC622" w14:textId="77777777" w:rsidR="00747A07" w:rsidRDefault="00747A07">
      <w:pPr>
        <w:pStyle w:val="a3"/>
      </w:pPr>
      <w:r>
        <w:t xml:space="preserve">　　『子曰：民之於仁也，甚於水火』。「人在世間必須生活，佛學說，正報的身體還要有養料，必須自己去找。世間都是養料，最重要的是空氣，不需要求便有，而要緊的養料有二，水、火不能離開，飲食離開水火就不行。如吾好喝茶，便須水火，乘汽車、工廠生產、電爐，都必須要有水。」</w:t>
      </w:r>
      <w:r>
        <w:t xml:space="preserve"> </w:t>
      </w:r>
    </w:p>
    <w:p w14:paraId="1A90E0A5" w14:textId="77777777" w:rsidR="00747A07" w:rsidRDefault="00747A07">
      <w:pPr>
        <w:pStyle w:val="a3"/>
      </w:pPr>
      <w:r>
        <w:t xml:space="preserve">　　「孔子說的是君子，若小人便不在乎這個了。除水火之外，還要有仁字。仁，二人也，有自己有他人。人群社會，對他人一切加厚，己所不欲，勿施於人，則近道矣。釋迦佛號能仁，仁便是慈悲。孔子說，民對於仁，比較起來，比水火還要緊，沒有水火就死了。但是自古都有死，民無信不立。八德孝悌忠信、禮義廉恥中，首先的孝就是仁之本，說到學佛，縱使終日有吃有穿，死後仍會墮三途。」</w:t>
      </w:r>
      <w:r>
        <w:t xml:space="preserve"> </w:t>
      </w:r>
    </w:p>
    <w:p w14:paraId="4306C8B2" w14:textId="77777777" w:rsidR="00747A07" w:rsidRDefault="00747A07">
      <w:pPr>
        <w:pStyle w:val="a3"/>
      </w:pPr>
      <w:r>
        <w:t xml:space="preserve">　　『水火吾見蹈而死者矣，未見蹈仁而死者也』。「水火雖然離不了，但是有利有害，離開了便不能生活，火能燒死人，水能淹死人，跳入水火就會被燒死、淹死。可是終日行仁慈，沒見有人死了。佛割肉餵鷹固然是行仁慈，把命行沒了，實在是他有辦法，佛是化身行仁。不然戒律有戒挨餓等，那是戒禁取見，所以不可一概而論。」</w:t>
      </w:r>
      <w:r>
        <w:t xml:space="preserve"> </w:t>
      </w:r>
    </w:p>
    <w:p w14:paraId="764E3BB0" w14:textId="77777777" w:rsidR="00747A07" w:rsidRDefault="00747A07">
      <w:pPr>
        <w:pStyle w:val="a3"/>
      </w:pPr>
      <w:r>
        <w:t xml:space="preserve">　　「再者，忠臣義士，寧可殺頭，不投降，為仁而犧牲，這種是為仁而死，保存仁德，就俗眼看來，可以傳名千古，這是小的功德而已，不是主要的。他們不為這個，凡是忠臣孝子，雖不懂佛學，最低是生大自在天，若有禪定才可以生到四禪天，生天後若干生不會墮落。」</w:t>
      </w:r>
      <w:r>
        <w:t xml:space="preserve"> </w:t>
      </w:r>
    </w:p>
    <w:p w14:paraId="3254C5C6" w14:textId="77777777" w:rsidR="00747A07" w:rsidRDefault="00747A07">
      <w:pPr>
        <w:pStyle w:val="a3"/>
      </w:pPr>
      <w:r>
        <w:t xml:space="preserve">　　這章書主要是給我們講仁，孔子講人蹈水、火而死，他有見過，看到人跳入水、火，就會被燒死、淹死。但是終日行仁慈，沒有見有人死了，行仁不會死。這個仁甚於水火，就是這個仁，仁愛、仁慈比水火還要重要。舉出佛割肉餵鷹把命都行沒了，那這是佛的化身行仁。不然戒律有戒挨餓，這也是戒律所禁止的，戒禁取見。所以這不能一概而論，雪廬老人舉出來給我們說明。一般來講跳入水火會死，會被燒死、淹死。但是你跳入仁，那沒有看到會死的。雪廬老人也再舉出忠臣義士，自古以來，忠臣義士寧可殺頭，他也不投降，他為仁而犧牲，這種是為仁而死，保存仁德。一般世俗來看，他可以傳名千古，傳名這是小的功德而已，不是主要的，他們也不是為了這個。凡是忠臣孝子，雖然不懂佛法，但是死了之後最低生大自在天。如果他有修禪定才可以生到四禪天，而且他生到六欲天，生天以後，若干生不會墮落，這是忠臣孝子行仁，他將來不墮三惡道，而且會生天。這章主要給我們講要行仁，行仁慈。</w:t>
      </w:r>
      <w:r>
        <w:t xml:space="preserve"> </w:t>
      </w:r>
    </w:p>
    <w:p w14:paraId="79341A10" w14:textId="77777777" w:rsidR="00747A07" w:rsidRDefault="00747A07">
      <w:pPr>
        <w:pStyle w:val="a3"/>
      </w:pPr>
      <w:r>
        <w:t xml:space="preserve">　　好，這章書我們就學習到這裡。祝大家福慧增長，法喜充滿。阿彌陀佛！　　</w:t>
      </w:r>
    </w:p>
    <w:sectPr w:rsidR="00747A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8555D" w14:textId="77777777" w:rsidR="00747A07" w:rsidRDefault="00747A07" w:rsidP="00447A74">
      <w:r>
        <w:separator/>
      </w:r>
    </w:p>
  </w:endnote>
  <w:endnote w:type="continuationSeparator" w:id="0">
    <w:p w14:paraId="4AF18DCC" w14:textId="77777777" w:rsidR="00747A07" w:rsidRDefault="00747A07" w:rsidP="00447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CC360" w14:textId="77777777" w:rsidR="00747A07" w:rsidRDefault="00747A07" w:rsidP="00447A74">
      <w:r>
        <w:separator/>
      </w:r>
    </w:p>
  </w:footnote>
  <w:footnote w:type="continuationSeparator" w:id="0">
    <w:p w14:paraId="1D35A5AC" w14:textId="77777777" w:rsidR="00747A07" w:rsidRDefault="00747A07" w:rsidP="00447A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74"/>
    <w:rsid w:val="00447A74"/>
    <w:rsid w:val="00747A0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B52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7A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7A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7A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7A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