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2FC4" w14:textId="77777777" w:rsidR="00634F76" w:rsidRDefault="00634F76">
      <w:r>
        <w:t xml:space="preserve">每日論語　　悟道法師主講　　（第四六八集）　　</w:t>
      </w:r>
      <w:r>
        <w:t>2020/3/4</w:t>
      </w:r>
      <w:r>
        <w:t xml:space="preserve">　　台灣　　檔名：</w:t>
      </w:r>
      <w:r>
        <w:t xml:space="preserve">WD20-037-0468 </w:t>
      </w:r>
    </w:p>
    <w:p w14:paraId="07393E2F" w14:textId="77777777" w:rsidR="00634F76" w:rsidRDefault="00634F76">
      <w:pPr>
        <w:pStyle w:val="a3"/>
      </w:pPr>
      <w:r>
        <w:t xml:space="preserve">　　諸位同學，大家早上好！我們繼續來學習雪廬老人的《論語講記》，〈陽貨篇〉第二章第三段。</w:t>
      </w:r>
      <w:r>
        <w:t xml:space="preserve"> </w:t>
      </w:r>
    </w:p>
    <w:p w14:paraId="3A134B98" w14:textId="77777777" w:rsidR="00634F76" w:rsidRDefault="00634F76">
      <w:pPr>
        <w:pStyle w:val="a3"/>
      </w:pPr>
      <w:r>
        <w:t xml:space="preserve">　　「又云：一陰一陽之謂道，繼之者善也。」</w:t>
      </w:r>
      <w:r>
        <w:t xml:space="preserve"> </w:t>
      </w:r>
    </w:p>
    <w:p w14:paraId="1147DABE" w14:textId="77777777" w:rsidR="00634F76" w:rsidRDefault="00634F76">
      <w:pPr>
        <w:pStyle w:val="a3"/>
      </w:pPr>
      <w:r>
        <w:t xml:space="preserve">　　「又云，又說。一陰一陽之謂道，一有道後，繼之者善也，接繼著道，有道就起作用。天命之謂性，率性之謂道，修道之謂教，一說話便有動作，動作接繼後來才有善這個字。」</w:t>
      </w:r>
      <w:r>
        <w:t xml:space="preserve"> </w:t>
      </w:r>
    </w:p>
    <w:p w14:paraId="0C9F5A4F" w14:textId="77777777" w:rsidR="00634F76" w:rsidRDefault="00634F76">
      <w:pPr>
        <w:pStyle w:val="a3"/>
      </w:pPr>
      <w:r>
        <w:t xml:space="preserve">　　「顯諸仁，藏諸用。」</w:t>
      </w:r>
      <w:r>
        <w:t xml:space="preserve"> </w:t>
      </w:r>
    </w:p>
    <w:p w14:paraId="58582D6A" w14:textId="77777777" w:rsidR="00634F76" w:rsidRDefault="00634F76">
      <w:pPr>
        <w:pStyle w:val="a3"/>
      </w:pPr>
      <w:r>
        <w:t xml:space="preserve">　　「又云，又說。顯諸仁，藏諸用，要將他顯出來，必須有動作，如某人熱，給他扇子，給的人有好處，給他扇子去除燠熱，給的人所作的善事，給的人就有了善。所以仁義道德都在作用造作上。」</w:t>
      </w:r>
      <w:r>
        <w:t xml:space="preserve"> </w:t>
      </w:r>
    </w:p>
    <w:p w14:paraId="49D3157F" w14:textId="77777777" w:rsidR="00634F76" w:rsidRDefault="00634F76">
      <w:pPr>
        <w:pStyle w:val="a3"/>
      </w:pPr>
      <w:r>
        <w:t xml:space="preserve">　　「鼓萬物而不與聖人同憂，盛德大業至矣。」</w:t>
      </w:r>
      <w:r>
        <w:t xml:space="preserve"> </w:t>
      </w:r>
    </w:p>
    <w:p w14:paraId="41EC88BF" w14:textId="77777777" w:rsidR="00634F76" w:rsidRDefault="00634F76">
      <w:pPr>
        <w:pStyle w:val="a3"/>
      </w:pPr>
      <w:r>
        <w:t xml:space="preserve">　　「又云，又說。鼓萬物而不與聖人同憂，鼓是動作，萬物指一切物體。一切物體都由本性，一動才出來萬物，與聖人沒有關係，用不著你操心。《中庸》說：上天之載，無聲無臭。上天造物，無聲無臭，不須聖人操心。造物主是本性，所以儒、釋、道可以合為參同契，若耶教就不能合，因為他的造物主是上帝。」</w:t>
      </w:r>
      <w:r>
        <w:t xml:space="preserve"> </w:t>
      </w:r>
    </w:p>
    <w:p w14:paraId="2A46D889" w14:textId="77777777" w:rsidR="00634F76" w:rsidRDefault="00634F76">
      <w:pPr>
        <w:pStyle w:val="a3"/>
      </w:pPr>
      <w:r>
        <w:t xml:space="preserve">　　「盛德大業至矣，這個功德太大了，性的德能太大了。業也由性出來，這是用。」</w:t>
      </w:r>
      <w:r>
        <w:t xml:space="preserve"> </w:t>
      </w:r>
    </w:p>
    <w:p w14:paraId="7AEDCEBE" w14:textId="77777777" w:rsidR="00634F76" w:rsidRDefault="00634F76">
      <w:pPr>
        <w:pStyle w:val="a3"/>
      </w:pPr>
      <w:r>
        <w:t xml:space="preserve">　　「又云，在天成象，在地成形，變化見矣。至六十四卦之象曰、彖曰，吉凶無咎，皆相也。」</w:t>
      </w:r>
      <w:r>
        <w:t xml:space="preserve"> </w:t>
      </w:r>
    </w:p>
    <w:p w14:paraId="10213A19" w14:textId="77777777" w:rsidR="00634F76" w:rsidRDefault="00634F76">
      <w:pPr>
        <w:pStyle w:val="a3"/>
      </w:pPr>
      <w:r>
        <w:t xml:space="preserve">　　「以下說相。又云，在天成象，在地成形，仰觀天象，俯察地理，成相成形都是相。變化見矣，千變萬化，都出來了。這還沒說善惡。至六十四卦，每卦都有六個爻，成形叫象曰、彖曰，有現象。然後預測這個象像什麼，哪一種象是吉是凶、不吉不凶、無咎。吉凶無咎，皆相也，吉凶無咎都是相。《易經》以下的文字接著說：積善之家必有餘慶，積不善之家必有餘殃，到這裡才說善惡。」</w:t>
      </w:r>
      <w:r>
        <w:t xml:space="preserve"> </w:t>
      </w:r>
    </w:p>
    <w:p w14:paraId="65BE9A49" w14:textId="77777777" w:rsidR="00634F76" w:rsidRDefault="00634F76">
      <w:pPr>
        <w:pStyle w:val="a3"/>
      </w:pPr>
      <w:r>
        <w:t xml:space="preserve">　　「下一段與這一段有關。不懂這個道理，那上智下愚就講不下去。」</w:t>
      </w:r>
      <w:r>
        <w:t xml:space="preserve"> </w:t>
      </w:r>
    </w:p>
    <w:p w14:paraId="5C31CE1D" w14:textId="77777777" w:rsidR="00634F76" w:rsidRDefault="00634F76">
      <w:pPr>
        <w:pStyle w:val="a3"/>
      </w:pPr>
      <w:r>
        <w:t xml:space="preserve">　　【子曰。唯上知與下愚不移。】</w:t>
      </w:r>
      <w:r>
        <w:t xml:space="preserve"> </w:t>
      </w:r>
    </w:p>
    <w:p w14:paraId="7DBD2871" w14:textId="77777777" w:rsidR="00634F76" w:rsidRDefault="00634F76">
      <w:pPr>
        <w:pStyle w:val="a3"/>
      </w:pPr>
      <w:r>
        <w:t xml:space="preserve">　　「這一段的注解也是全不對，不看注好似明白，看了反而不明白。」雪廬老人講，這一段看到很多注解，看了反而不明白。「有人說，這與前一章要合為一章，有人說要分二章；吾看這一章與上一章像是一章，子曰，或許是多出來的，為什麼主張合為一章呢？你們要仔細聽，因為你們的文章不行。」雪廬老人告訴我們，的確我們的文章不行。</w:t>
      </w:r>
      <w:r>
        <w:t xml:space="preserve"> </w:t>
      </w:r>
    </w:p>
    <w:p w14:paraId="5CC56532" w14:textId="77777777" w:rsidR="00634F76" w:rsidRDefault="00634F76">
      <w:pPr>
        <w:pStyle w:val="a3"/>
      </w:pPr>
      <w:r>
        <w:lastRenderedPageBreak/>
        <w:t xml:space="preserve">　　『子曰：唯上知與下愚不移。』</w:t>
      </w:r>
      <w:r>
        <w:t xml:space="preserve"> </w:t>
      </w:r>
    </w:p>
    <w:p w14:paraId="1BC8099B" w14:textId="77777777" w:rsidR="00634F76" w:rsidRDefault="00634F76">
      <w:pPr>
        <w:pStyle w:val="a3"/>
      </w:pPr>
      <w:r>
        <w:t xml:space="preserve">　　「唯是唯獨，有比較才說唯。連著上一章，雖然說是性相近，習相遠，但是唯上智與下愚不移，也沒有說善惡，而注解者也是注解善惡。」</w:t>
      </w:r>
      <w:r>
        <w:t xml:space="preserve"> </w:t>
      </w:r>
    </w:p>
    <w:p w14:paraId="64253C00" w14:textId="77777777" w:rsidR="00634F76" w:rsidRDefault="00634F76">
      <w:pPr>
        <w:pStyle w:val="a3"/>
      </w:pPr>
      <w:r>
        <w:t xml:space="preserve">　　「上智下愚指性與習，習是情。上智與下愚的性情不移，唯這二種人不移，不移是不更改。愚是什麼都不懂，桀紂都懂，怎能說他們是愚呢？愚者如愚翁，以為山可以改，一般人以為山不可改，他卻認為可以改；又如夸父逐日，不自量力。」</w:t>
      </w:r>
      <w:r>
        <w:t xml:space="preserve"> </w:t>
      </w:r>
    </w:p>
    <w:p w14:paraId="037BAACA" w14:textId="77777777" w:rsidR="00634F76" w:rsidRDefault="00634F76">
      <w:pPr>
        <w:pStyle w:val="a3"/>
      </w:pPr>
      <w:r>
        <w:t xml:space="preserve">　　「能不移，做事情就能成功。如周利槃陀伽，連笤帚二字也記不住，同仁要他走，他就是不走，終於證了羅漢果，他全在不移上。不成功的都是我們這些人，處在上智與下愚中間的人，隨東隨西漂流，叮叮噹噹，隨時更改。不移是不改，能成功。桀紂不是愚。有人說堯舜是上智，桀紂是下愚，這是錯誤的說法。」</w:t>
      </w:r>
      <w:r>
        <w:t xml:space="preserve"> </w:t>
      </w:r>
    </w:p>
    <w:p w14:paraId="3A53B23E" w14:textId="77777777" w:rsidR="00634F76" w:rsidRDefault="00634F76">
      <w:pPr>
        <w:pStyle w:val="a3"/>
      </w:pPr>
      <w:r>
        <w:t xml:space="preserve">　　「這一段是上智下愚不移。誠者，天之道也；誠之者，人之道也。誠是天然的，人沒有一點虛假，這是天道。誠之者是學誠，因著這個人誠不太充足，才要學，學後還算人。天然是上智，學習也是上智。仁者安仁，心在仁上才心安理得，天真直率，不勉強；智者利仁，智者是聰明人，智者知道走仁路有利益，這還是上智。現在的人，既不能安仁，也不能利仁。知而不做，有什麼辦法！」</w:t>
      </w:r>
      <w:r>
        <w:t xml:space="preserve"> </w:t>
      </w:r>
    </w:p>
    <w:p w14:paraId="37E9CA78" w14:textId="77777777" w:rsidR="00634F76" w:rsidRDefault="00634F76">
      <w:pPr>
        <w:pStyle w:val="a3"/>
      </w:pPr>
      <w:r>
        <w:t xml:space="preserve">　　「《漢儒》注出來了，如今你們自己去悟，不悟也不害人。達摩祖師說：明道者多，行道者少；說理者多，通理者少。學佛中萬人不退者一人耳，證道者數萬人未得其一。你們若真是愚人便能成功。老太婆能往生，講經不能證果，證果全在自修上。」</w:t>
      </w:r>
      <w:r>
        <w:t xml:space="preserve"> </w:t>
      </w:r>
    </w:p>
    <w:p w14:paraId="1F091E2F" w14:textId="77777777" w:rsidR="00634F76" w:rsidRDefault="00634F76">
      <w:pPr>
        <w:pStyle w:val="a3"/>
      </w:pPr>
      <w:r>
        <w:t xml:space="preserve">　　「上智能成就，不退轉，下愚也是如此。上智難，下愚也是難，所謂古之愚也直，今之愚也詐而已矣，現在的人是裝洋相。」</w:t>
      </w:r>
      <w:r>
        <w:t xml:space="preserve"> </w:t>
      </w:r>
    </w:p>
    <w:p w14:paraId="3BD7BA94" w14:textId="77777777" w:rsidR="00634F76" w:rsidRDefault="00634F76">
      <w:pPr>
        <w:pStyle w:val="a3"/>
      </w:pPr>
      <w:r>
        <w:t xml:space="preserve">　　好，〈陽貨篇〉第二章雪廬老人講得比較長，所以我們分三次學習，今天就學習到這裡，下一次我們就學習〈陽貨篇〉第三章了。祝大家福慧增長，法喜充滿。阿彌陀佛！　　</w:t>
      </w:r>
    </w:p>
    <w:sectPr w:rsidR="00634F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F179" w14:textId="77777777" w:rsidR="00634F76" w:rsidRDefault="00634F76" w:rsidP="008202F1">
      <w:r>
        <w:separator/>
      </w:r>
    </w:p>
  </w:endnote>
  <w:endnote w:type="continuationSeparator" w:id="0">
    <w:p w14:paraId="106191BC" w14:textId="77777777" w:rsidR="00634F76" w:rsidRDefault="00634F76" w:rsidP="0082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93471" w14:textId="77777777" w:rsidR="00634F76" w:rsidRDefault="00634F76" w:rsidP="008202F1">
      <w:r>
        <w:separator/>
      </w:r>
    </w:p>
  </w:footnote>
  <w:footnote w:type="continuationSeparator" w:id="0">
    <w:p w14:paraId="1CA2D3A9" w14:textId="77777777" w:rsidR="00634F76" w:rsidRDefault="00634F76" w:rsidP="00820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F1"/>
    <w:rsid w:val="00634F76"/>
    <w:rsid w:val="007931EE"/>
    <w:rsid w:val="0082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74E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