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96C0" w14:textId="77777777" w:rsidR="00187B34" w:rsidRDefault="00187B34">
      <w:r>
        <w:t xml:space="preserve">每日論語　　悟道法師主講　　（第四七二集）　　</w:t>
      </w:r>
      <w:r>
        <w:t>2020/3/8</w:t>
      </w:r>
      <w:r>
        <w:t xml:space="preserve">　　台灣　　檔名：</w:t>
      </w:r>
      <w:r>
        <w:t xml:space="preserve">WD20-037-0472 </w:t>
      </w:r>
    </w:p>
    <w:p w14:paraId="2DEE25FB" w14:textId="77777777" w:rsidR="00187B34" w:rsidRDefault="00187B34">
      <w:pPr>
        <w:pStyle w:val="a3"/>
      </w:pPr>
      <w:r>
        <w:t xml:space="preserve">　　諸位同學，大家早上好！我們繼續來學習雪廬老人的《論語講記》，〈陽貨篇〉第六章。</w:t>
      </w:r>
      <w:r>
        <w:t xml:space="preserve"> </w:t>
      </w:r>
    </w:p>
    <w:p w14:paraId="2433ED0B" w14:textId="77777777" w:rsidR="00187B34" w:rsidRDefault="00187B34">
      <w:pPr>
        <w:pStyle w:val="a3"/>
      </w:pPr>
      <w:r>
        <w:t xml:space="preserve">　　【佛肸召。子欲往。子路曰。昔者由也聞諸夫子曰。親於其身為不善者。君子不入也。佛肸以中牟畔。子之往也。如之何。子曰。然。有是言也。不曰堅乎。磨而不磷。不曰白乎。涅而不緇。吾豈匏瓜也哉。焉能繫而不食。】</w:t>
      </w:r>
      <w:r>
        <w:t xml:space="preserve"> </w:t>
      </w:r>
    </w:p>
    <w:p w14:paraId="7719972F" w14:textId="77777777" w:rsidR="00187B34" w:rsidRDefault="00187B34">
      <w:pPr>
        <w:pStyle w:val="a3"/>
      </w:pPr>
      <w:r>
        <w:t xml:space="preserve">　　『佛肸召，子欲往。子路曰：』「佛肸召，子欲往，這與魯國無關，齊桓公為霸主之後，晉文公當霸主，所謂齊桓晉文。三家分晉，韓趙魏都是在晉地，是晉的功臣，受封土地。後來范中行等四家打起來，三家滅了智伯范中行，都不歸晉了。到戰國，三家滅晉，成為韓趙魏，奪取晉君的權位，也像魯國三家都不對。佛肸當中牟縣宰，中牟是趙地，在河南、河北都有中牟縣，弄不清楚，可以不管。三家沒有分晉時，佛肸就在中牟縣，三家分晉後，佛肸不服從趙，因為趙他背叛晉的緣故。佛肸也找幫手，找上孔子，孔子也想前往，但不是就去。又是子路出來說話，這回說明白話。」</w:t>
      </w:r>
      <w:r>
        <w:t xml:space="preserve"> </w:t>
      </w:r>
    </w:p>
    <w:p w14:paraId="2BC9DE43" w14:textId="77777777" w:rsidR="00187B34" w:rsidRDefault="00187B34">
      <w:pPr>
        <w:pStyle w:val="a3"/>
      </w:pPr>
      <w:r>
        <w:t xml:space="preserve">　　『昔者由也聞諸夫子曰：親於其身為不善者，君子不入也。佛肸以中牟畔，子之往也，如之何？』「昔日我仲由聽夫子您說過，本身不是善道，君子就不去與他合作。佛肸背叛君臣的道理，雖然對晉是對得起，但是佛肸他也是以家臣背叛大夫，背叛趙家，夫子您上那裡去，對嗎？」</w:t>
      </w:r>
      <w:r>
        <w:t xml:space="preserve"> </w:t>
      </w:r>
    </w:p>
    <w:p w14:paraId="7A60714D" w14:textId="77777777" w:rsidR="00187B34" w:rsidRDefault="00187B34">
      <w:pPr>
        <w:pStyle w:val="a3"/>
      </w:pPr>
      <w:r>
        <w:t xml:space="preserve">　　『子曰：然，有是言也，不曰堅乎，磨而不磷，不曰白乎，涅而不緇』，「孔子說，你說得對，我說過這樣的話，但是你沒記住別的話，還有什麼話？我不是說過，東西很堅固，如何堅固法呢？磨它不磷，磷是薄、壞的意思，怎麼磨也破壞不了它。不也說過白，涅染它，緇是發黑，你要守住白，也不叫他染上黑。什麼是磨而不磷，涅而不緇？《禮記．考工記》，舉車輪的中心車軸，用棗木做的，很堅固，車輪來來往往，輪壞了，軸雖然吃大力，軸卻不壞，這是磨而不磷的比喻。《廣雅》說：涅，黑泥也，涅並不是染料，黑泥染不上黑，不是染色的材料，這是涅而不緇的比喻。」</w:t>
      </w:r>
      <w:r>
        <w:t xml:space="preserve"> </w:t>
      </w:r>
    </w:p>
    <w:p w14:paraId="60E78351" w14:textId="77777777" w:rsidR="00187B34" w:rsidRDefault="00187B34">
      <w:pPr>
        <w:pStyle w:val="a3"/>
      </w:pPr>
      <w:r>
        <w:t xml:space="preserve">　　「這是孔子說，我出來但是不改變我的堅固，污穢也染污不了我。孔子說，但是並沒有真去，即使去也染不了。我出來有我的辦法，不論受什麼艱難，我有辦法，而且染不了孔子。例如孔子在衛，彌子瑕、南子要孔子出來，孔子都不出來，但是孔子為何不拒絕而欲往呢？」</w:t>
      </w:r>
      <w:r>
        <w:t xml:space="preserve"> </w:t>
      </w:r>
    </w:p>
    <w:p w14:paraId="2CA5AD71" w14:textId="77777777" w:rsidR="00187B34" w:rsidRDefault="00187B34">
      <w:pPr>
        <w:pStyle w:val="a3"/>
      </w:pPr>
      <w:r>
        <w:t xml:space="preserve">　　『吾豈匏瓜也哉，焉能繫而不食？』「孔子說，我不是匏瓜，空有虛名而不幹，有機會我便出來。匏瓜吾採《焦氏筆乘》的說法」，雪廬老人他採取《焦氏筆乘》的說法。《焦氏筆乘》說匏瓜是「指南方的星」，叫匏瓜星。「既叫匏瓜星名，又是繫在那兒。」匏瓜綁在那個地方。「《詩經．小雅》云：維南有箕，不可以簸揚；維北有斗，不可以挹酒漿。南方的匏瓜星也是虛有其名。我難道是匏瓜星，掛在那裡不中用的東西嗎？」</w:t>
      </w:r>
      <w:r>
        <w:t xml:space="preserve"> </w:t>
      </w:r>
    </w:p>
    <w:p w14:paraId="6AFB9AEB" w14:textId="77777777" w:rsidR="00187B34" w:rsidRDefault="00187B34">
      <w:pPr>
        <w:pStyle w:val="a3"/>
      </w:pPr>
      <w:r>
        <w:t xml:space="preserve">　　這章書我們就學習到這裡。祝大家福慧增長，法喜充滿。阿彌陀佛！　　</w:t>
      </w:r>
    </w:p>
    <w:sectPr w:rsidR="00187B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EEA7E" w14:textId="77777777" w:rsidR="00187B34" w:rsidRDefault="00187B34" w:rsidP="00983740">
      <w:r>
        <w:separator/>
      </w:r>
    </w:p>
  </w:endnote>
  <w:endnote w:type="continuationSeparator" w:id="0">
    <w:p w14:paraId="36834A6E" w14:textId="77777777" w:rsidR="00187B34" w:rsidRDefault="00187B34" w:rsidP="00983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BE305" w14:textId="77777777" w:rsidR="00187B34" w:rsidRDefault="00187B34" w:rsidP="00983740">
      <w:r>
        <w:separator/>
      </w:r>
    </w:p>
  </w:footnote>
  <w:footnote w:type="continuationSeparator" w:id="0">
    <w:p w14:paraId="6FE9918C" w14:textId="77777777" w:rsidR="00187B34" w:rsidRDefault="00187B34" w:rsidP="00983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40"/>
    <w:rsid w:val="00187B34"/>
    <w:rsid w:val="007931EE"/>
    <w:rsid w:val="0098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8ED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