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653B" w14:textId="77777777" w:rsidR="00AA042A" w:rsidRDefault="00AA042A">
      <w:r>
        <w:t xml:space="preserve">每日論語　　悟道法師主講　　（第四七八集）　　</w:t>
      </w:r>
      <w:r>
        <w:t>2020/3/14</w:t>
      </w:r>
      <w:r>
        <w:t xml:space="preserve">　　台灣　　檔名：</w:t>
      </w:r>
      <w:r>
        <w:t xml:space="preserve">WD20-037-0478 </w:t>
      </w:r>
    </w:p>
    <w:p w14:paraId="11B97528" w14:textId="77777777" w:rsidR="00AA042A" w:rsidRDefault="00AA042A">
      <w:pPr>
        <w:pStyle w:val="a3"/>
      </w:pPr>
      <w:r>
        <w:t xml:space="preserve">　　諸位同學，大家早上好！我們繼續來學習雪廬老人的《論語講記》，〈陽貨篇〉第十二章。</w:t>
      </w:r>
      <w:r>
        <w:t xml:space="preserve"> </w:t>
      </w:r>
    </w:p>
    <w:p w14:paraId="12D04897" w14:textId="77777777" w:rsidR="00AA042A" w:rsidRDefault="00AA042A">
      <w:pPr>
        <w:pStyle w:val="a3"/>
      </w:pPr>
      <w:r>
        <w:t xml:space="preserve">　　【子曰。鄉愿。德之賊也。】</w:t>
      </w:r>
      <w:r>
        <w:t xml:space="preserve"> </w:t>
      </w:r>
    </w:p>
    <w:p w14:paraId="5B7D8027" w14:textId="77777777" w:rsidR="00AA042A" w:rsidRDefault="00AA042A">
      <w:pPr>
        <w:pStyle w:val="a3"/>
      </w:pPr>
      <w:r>
        <w:t xml:space="preserve">　　「《群經平議》說，愿，要加一單立人，傆，黠也，當狡滑講。按《孟子》趙岐的注解，字可以不改動，愿當善講，鄭康成也當善講，就作愿，原與愿相通。」這一章書雪廬老人給我們提示，《群經平議》這個書裡面說，愿，現在我們看到愿這個字，上面一個原來的原、原諒的原，下面一個心字，在《群經平議》裡面說要加一單立人，就是左邊一個人字旁，右邊是原來的原，這個也念傆。傆，黠也，黠就是當狡滑講，圓滑、隨和。按照《孟子》，四書當中的《孟子》趙岐先生的注解，這個字可以不必改動，就是照原來上面一個原來的原，下面一個心字。原與愿，原來這個原與愿這個字相通，互相通用。愿當善來講，鄭康成的注解也當善講。</w:t>
      </w:r>
      <w:r>
        <w:t xml:space="preserve"> </w:t>
      </w:r>
    </w:p>
    <w:p w14:paraId="78AA33F4" w14:textId="77777777" w:rsidR="00AA042A" w:rsidRDefault="00AA042A">
      <w:pPr>
        <w:pStyle w:val="a3"/>
      </w:pPr>
      <w:r>
        <w:t xml:space="preserve">　　『子曰：鄉愿，德之賊也。』「孔子說，有一種人叫鄉愿。」「鄉是本鄉本土」，鄉村這個鄉，本鄉本土，「這一鄉人，都說某人是好人」，我們現在講好好先生。「堯、舜也是人人說好，那是後人稱讚。但是這一章人人說好的人，是賊害道德的人」，鄉愿也是人人都說他是好人，但是他是賊害道德的人，那跟堯、舜的人人說好不相同。「這一句像詩一般。」</w:t>
      </w:r>
      <w:r>
        <w:t xml:space="preserve"> </w:t>
      </w:r>
    </w:p>
    <w:p w14:paraId="34980509" w14:textId="77777777" w:rsidR="00AA042A" w:rsidRDefault="00AA042A">
      <w:pPr>
        <w:pStyle w:val="a3"/>
      </w:pPr>
      <w:r>
        <w:t xml:space="preserve">　　「今古有所不同」，今是現在，古是古時候，有不同的。「例如宋朝時，有人說岳飛好，這位鄉愿說不錯，岳飛聽了高興」，他鄉愿就會附合別人說的，別人說好，他也跟著說好。「另一個人說秦檜好，鄉愿也說不錯，秦檜也高興」，他也隨著別人說都好。「或者說吳鳳好，他也讚歎說﹕也很好」，吳鳳在台灣嘉義，歷史上記載，他也是一個算是民族英雄的人物，說好，鄉愿也隨著讚歎說也很好。「這個人如何？」就是像這樣的鄉愿是如何，是什麼樣的人？雪廬老人講，「這是同流合污，清水、濁水都好，老奸巨滑」。好的他也說好，壞的也說好，就老奸巨滑，就是德之賊，孔子說的是德之賊，賊害道德的人。「今日這種人很多，佛教界也很多，絕不能成就，到處跑廟，禪密律淨的廟，都有他，如何成就？那是廟棍子、佛棍，誰能獨立不移不易？」雪廬老人舉出，現代佛教界這樣的人也很多，他什麼都好，到處跑廟，什麼地方都有他出現。這個我們的確也看到過，他也來這個道場，也跑那個道場，的確到處都跑，那這是不能成就的。雪廬老人講的就不太好聽，那是廟棍子、佛棍。</w:t>
      </w:r>
      <w:r>
        <w:t xml:space="preserve"> </w:t>
      </w:r>
    </w:p>
    <w:p w14:paraId="47060B9A" w14:textId="77777777" w:rsidR="00AA042A" w:rsidRDefault="00AA042A">
      <w:pPr>
        <w:pStyle w:val="a3"/>
      </w:pPr>
      <w:r>
        <w:t xml:space="preserve">　　「佛家講親近善知識，遠離惡知識。儒家說親賢臣、遠佞人，觀友而知其人。」這是佛家跟儒家講的都是同樣一個道理。佛家講親近善知識，我們要親近善知識，要遠離惡知識。儒家說親賢臣、遠佞人，觀友而知其人。觀察這個朋友他交的都是什麼樣的人，他交往的是什麼樣的人，是親近善知識，遠離惡知識，還是親近惡知識，遠離善知識；就如同儒家講的，他是親近佞人、遠離賢臣，還是親近賢臣、遠離佞人，看他結交的朋友就知道這個人是什麼樣的一個人。</w:t>
      </w:r>
      <w:r>
        <w:t xml:space="preserve"> </w:t>
      </w:r>
    </w:p>
    <w:p w14:paraId="4DF7EAE9" w14:textId="77777777" w:rsidR="00AA042A" w:rsidRDefault="00AA042A">
      <w:pPr>
        <w:pStyle w:val="a3"/>
      </w:pPr>
      <w:r>
        <w:t xml:space="preserve">　　這章書主要就是我們不能學習鄉愿這種態度，這個當中是非善惡也不能打迷糊，隨著人家，人家對的也說好，不對也說好，那這就變成鄉愿了。應該好我們要讚歎，</w:t>
      </w:r>
      <w:r>
        <w:lastRenderedPageBreak/>
        <w:t xml:space="preserve">不好我們不能讚歎，也不能隨和、隨喜。這是佛、聖賢教我們的一個正確態度，這不能不知。因為現在的確如同雪廬老人講的，這樣的人很多。好，我們這章書就學習到這裡。祝大家福慧增長，法喜充滿。阿彌陀佛！　　</w:t>
      </w:r>
    </w:p>
    <w:sectPr w:rsidR="00AA04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0FE9B" w14:textId="77777777" w:rsidR="00AA042A" w:rsidRDefault="00AA042A" w:rsidP="00D85C34">
      <w:r>
        <w:separator/>
      </w:r>
    </w:p>
  </w:endnote>
  <w:endnote w:type="continuationSeparator" w:id="0">
    <w:p w14:paraId="39C404A0" w14:textId="77777777" w:rsidR="00AA042A" w:rsidRDefault="00AA042A" w:rsidP="00D85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5CF31" w14:textId="77777777" w:rsidR="00AA042A" w:rsidRDefault="00AA042A" w:rsidP="00D85C34">
      <w:r>
        <w:separator/>
      </w:r>
    </w:p>
  </w:footnote>
  <w:footnote w:type="continuationSeparator" w:id="0">
    <w:p w14:paraId="31509D51" w14:textId="77777777" w:rsidR="00AA042A" w:rsidRDefault="00AA042A" w:rsidP="00D85C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34"/>
    <w:rsid w:val="007931EE"/>
    <w:rsid w:val="00AA042A"/>
    <w:rsid w:val="00D8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B59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5C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5C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5C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5C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