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8961" w14:textId="77777777" w:rsidR="001A4F6E" w:rsidRDefault="001A4F6E">
      <w:r>
        <w:t xml:space="preserve">每日論語　　悟道法師主講　　（第四八Ｏ集）　　</w:t>
      </w:r>
      <w:r>
        <w:t>2020/3/16</w:t>
      </w:r>
      <w:r>
        <w:t xml:space="preserve">　　台灣　　檔名：</w:t>
      </w:r>
      <w:r>
        <w:t xml:space="preserve">WD20-037-0480 </w:t>
      </w:r>
    </w:p>
    <w:p w14:paraId="3998120D" w14:textId="77777777" w:rsidR="001A4F6E" w:rsidRDefault="001A4F6E">
      <w:pPr>
        <w:pStyle w:val="a3"/>
      </w:pPr>
      <w:r>
        <w:t xml:space="preserve">　　諸位同學，大家早上好！我們繼續來學習雪廬老人的《論語講記》，〈陽貨篇〉第十四章。</w:t>
      </w:r>
      <w:r>
        <w:t xml:space="preserve"> </w:t>
      </w:r>
    </w:p>
    <w:p w14:paraId="19F93EF6" w14:textId="77777777" w:rsidR="001A4F6E" w:rsidRDefault="001A4F6E">
      <w:pPr>
        <w:pStyle w:val="a3"/>
      </w:pPr>
      <w:r>
        <w:t xml:space="preserve">　　【子曰。鄙夫可與事君也與哉。未得之也。患得之。既得之。患失之。苟患失之。無所不至矣。】</w:t>
      </w:r>
      <w:r>
        <w:t xml:space="preserve"> </w:t>
      </w:r>
    </w:p>
    <w:p w14:paraId="09F12CBA" w14:textId="77777777" w:rsidR="001A4F6E" w:rsidRDefault="001A4F6E">
      <w:pPr>
        <w:pStyle w:val="a3"/>
      </w:pPr>
      <w:r>
        <w:t xml:space="preserve">　　「這一章文理有麻煩，一字有若干音，若干義。還有更麻煩的，音也不變，義也不變，必須看上下文的口氣而變，如韓昌黎的敢將衰朽惜殘年，敢字就是不敢的意義。這一章書又是一個例證，可見讀書的難處。說美華僑西坡不認字，這是實話。」</w:t>
      </w:r>
      <w:r>
        <w:t xml:space="preserve"> </w:t>
      </w:r>
    </w:p>
    <w:p w14:paraId="044D8862" w14:textId="77777777" w:rsidR="001A4F6E" w:rsidRDefault="001A4F6E">
      <w:pPr>
        <w:pStyle w:val="a3"/>
      </w:pPr>
      <w:r>
        <w:t xml:space="preserve">　　『子曰：鄙夫可與事君也與哉？』「第一句是問，以下是孔子答。鄙夫，鄙，沒有學問、無知識的人，所見不廣。學問道德都沒有的人物，可以出來替國家辦事嗎？可與事君，事指可以出來事奉元首、做大官。也與，可以嗎？活口氣。」</w:t>
      </w:r>
      <w:r>
        <w:t xml:space="preserve"> </w:t>
      </w:r>
    </w:p>
    <w:p w14:paraId="2D75BC8B" w14:textId="77777777" w:rsidR="001A4F6E" w:rsidRDefault="001A4F6E">
      <w:pPr>
        <w:pStyle w:val="a3"/>
      </w:pPr>
      <w:r>
        <w:t xml:space="preserve">　　「你們讀書為了什麼？為了修身、齊家、治國、平天下。必須為社會辦事，只要念過書，都有這個道理，不會辦就是書呆子。讀書明理，志在辦事，只會作文有什麼用？現今也不會作文了。」</w:t>
      </w:r>
      <w:r>
        <w:t xml:space="preserve"> </w:t>
      </w:r>
    </w:p>
    <w:p w14:paraId="18CEE908" w14:textId="77777777" w:rsidR="001A4F6E" w:rsidRDefault="001A4F6E">
      <w:pPr>
        <w:pStyle w:val="a3"/>
      </w:pPr>
      <w:r>
        <w:t xml:space="preserve">　　「今日選舉，你有德才嗎？若為人民犧牲一切，又有才德，卻不出來，對於天下蒼生如何？這時就可以出來。若只是有錢，那是誤盡蒼生。你們若再不變心理，吾說了又有什麼用？」這一段，雪廬老人給我們舉出這些事情，我們要從這裡好好去體會，舉一反三。</w:t>
      </w:r>
      <w:r>
        <w:t xml:space="preserve"> </w:t>
      </w:r>
    </w:p>
    <w:p w14:paraId="54CE84CA" w14:textId="77777777" w:rsidR="001A4F6E" w:rsidRDefault="001A4F6E">
      <w:pPr>
        <w:pStyle w:val="a3"/>
      </w:pPr>
      <w:r>
        <w:t xml:space="preserve">　　『未得之也，患得之』，「什麼是鄙夫？不是口說，要看他的行動。其未得之也，患得之，若直接依文講，未得而患得，得作得到，有這種道理嗎？得，是不得。沒得到時就籌劃，憂慮得不到，假若我得到。例如有一個人拾得一粒雞蛋，就打算養雞、買田等等計畫。這是正說，是未得到怕得不到。」</w:t>
      </w:r>
      <w:r>
        <w:t xml:space="preserve"> </w:t>
      </w:r>
    </w:p>
    <w:p w14:paraId="11C90BA8" w14:textId="77777777" w:rsidR="001A4F6E" w:rsidRDefault="001A4F6E">
      <w:pPr>
        <w:pStyle w:val="a3"/>
      </w:pPr>
      <w:r>
        <w:t xml:space="preserve">　　『既得之，患失之』，「既得之，患失之，既得到又怕失掉。」</w:t>
      </w:r>
      <w:r>
        <w:t xml:space="preserve"> </w:t>
      </w:r>
    </w:p>
    <w:p w14:paraId="68D0F070" w14:textId="77777777" w:rsidR="001A4F6E" w:rsidRDefault="001A4F6E">
      <w:pPr>
        <w:pStyle w:val="a3"/>
      </w:pPr>
      <w:r>
        <w:t xml:space="preserve">　　『苟患失之』，「苟患失之，一得一失，終日自私自利，為自己打算，這種人是鄙夫。」</w:t>
      </w:r>
      <w:r>
        <w:t xml:space="preserve"> </w:t>
      </w:r>
    </w:p>
    <w:p w14:paraId="32A4F2AC" w14:textId="77777777" w:rsidR="001A4F6E" w:rsidRDefault="001A4F6E">
      <w:pPr>
        <w:pStyle w:val="a3"/>
      </w:pPr>
      <w:r>
        <w:t xml:space="preserve">　　『無所不至矣。』「則無所不至矣，只要有所得，不論來路不明，不論合不合義，他一概不管，應放捨的他卻捉著不捨。這種人殺人放火，奸盜邪淫，只要有利，什麼他都幹。」</w:t>
      </w:r>
      <w:r>
        <w:t xml:space="preserve"> </w:t>
      </w:r>
    </w:p>
    <w:p w14:paraId="7CFE7F3B" w14:textId="77777777" w:rsidR="001A4F6E" w:rsidRDefault="001A4F6E">
      <w:pPr>
        <w:pStyle w:val="a3"/>
      </w:pPr>
      <w:r>
        <w:t xml:space="preserve">　　「我們不認識什麼人是善知識，什麼人是惡知識，知道這個就能辨了。」</w:t>
      </w:r>
      <w:r>
        <w:t xml:space="preserve"> </w:t>
      </w:r>
    </w:p>
    <w:p w14:paraId="4A63F6F7" w14:textId="77777777" w:rsidR="001A4F6E" w:rsidRDefault="001A4F6E">
      <w:pPr>
        <w:pStyle w:val="a3"/>
      </w:pPr>
      <w:r>
        <w:t xml:space="preserve">　　「觀察他的行為，若患得患失，如何福國利民？我們要如何辦？你們要當仁不讓，見得思義，即使有人把錢拿到家來，吾也拿出來。」</w:t>
      </w:r>
      <w:r>
        <w:t xml:space="preserve"> </w:t>
      </w:r>
    </w:p>
    <w:p w14:paraId="7806375F" w14:textId="77777777" w:rsidR="001A4F6E" w:rsidRDefault="001A4F6E">
      <w:pPr>
        <w:pStyle w:val="a3"/>
      </w:pPr>
      <w:r>
        <w:lastRenderedPageBreak/>
        <w:t xml:space="preserve">　　「台灣雖小，只要萬眾一心」，什麼事都能夠成就。這一章書，雪廬老人給我們講，觀察一個人，如果還有患得患失，就不能出來替國家社會辦事，如何能夠福國利民？都是為自己打算，所謂自私自利。</w:t>
      </w:r>
      <w:r>
        <w:t xml:space="preserve"> </w:t>
      </w:r>
    </w:p>
    <w:p w14:paraId="218728F5" w14:textId="77777777" w:rsidR="001A4F6E" w:rsidRDefault="001A4F6E">
      <w:pPr>
        <w:pStyle w:val="a3"/>
      </w:pPr>
      <w:r>
        <w:t xml:space="preserve">　　好，這章書我們就學習到這裡。祝大家福慧增長，法喜充滿。阿彌陀佛！　　</w:t>
      </w:r>
    </w:p>
    <w:sectPr w:rsidR="001A4F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FE62" w14:textId="77777777" w:rsidR="001A4F6E" w:rsidRDefault="001A4F6E" w:rsidP="00B323ED">
      <w:r>
        <w:separator/>
      </w:r>
    </w:p>
  </w:endnote>
  <w:endnote w:type="continuationSeparator" w:id="0">
    <w:p w14:paraId="0B162563" w14:textId="77777777" w:rsidR="001A4F6E" w:rsidRDefault="001A4F6E" w:rsidP="00B32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A0331" w14:textId="77777777" w:rsidR="001A4F6E" w:rsidRDefault="001A4F6E" w:rsidP="00B323ED">
      <w:r>
        <w:separator/>
      </w:r>
    </w:p>
  </w:footnote>
  <w:footnote w:type="continuationSeparator" w:id="0">
    <w:p w14:paraId="152FF3AE" w14:textId="77777777" w:rsidR="001A4F6E" w:rsidRDefault="001A4F6E" w:rsidP="00B323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ED"/>
    <w:rsid w:val="001A4F6E"/>
    <w:rsid w:val="007931EE"/>
    <w:rsid w:val="00B3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46C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3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3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3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3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