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2730" w14:textId="77777777" w:rsidR="00A22922" w:rsidRDefault="00A22922">
      <w:r>
        <w:t xml:space="preserve">每日論語　　悟道法師主講　　（第五一四集）　　</w:t>
      </w:r>
      <w:r>
        <w:t>2020/4/19</w:t>
      </w:r>
      <w:r>
        <w:t xml:space="preserve">　　台灣　　檔名：</w:t>
      </w:r>
      <w:r>
        <w:t xml:space="preserve">WD20-037-0514 </w:t>
      </w:r>
    </w:p>
    <w:p w14:paraId="7D2C1CA6" w14:textId="77777777" w:rsidR="00A22922" w:rsidRDefault="00A22922">
      <w:pPr>
        <w:pStyle w:val="a3"/>
      </w:pPr>
      <w:r>
        <w:t xml:space="preserve">　　諸位同學，大家早上好！我們繼續來學習雪廬老人的《論語講要》，〈子張篇〉第十二章。</w:t>
      </w:r>
      <w:r>
        <w:t xml:space="preserve"> </w:t>
      </w:r>
    </w:p>
    <w:p w14:paraId="2053FFB2" w14:textId="77777777" w:rsidR="00A22922" w:rsidRDefault="00A22922">
      <w:pPr>
        <w:pStyle w:val="a3"/>
      </w:pPr>
      <w:r>
        <w:t xml:space="preserve">　　【子游曰。子夏之門人小子。當洒掃應對進退則可矣。抑末也。本之則無。如之何。子夏聞之曰。噫。言游過矣。君子之道。孰先傳焉。孰後倦焉。譬諸草木。區以別矣。君子之道。焉可誣也。有始有卒者。其惟聖人乎。】</w:t>
      </w:r>
      <w:r>
        <w:t xml:space="preserve"> </w:t>
      </w:r>
    </w:p>
    <w:p w14:paraId="51851F03" w14:textId="77777777" w:rsidR="00A22922" w:rsidRDefault="00A22922">
      <w:pPr>
        <w:pStyle w:val="a3"/>
      </w:pPr>
      <w:r>
        <w:t xml:space="preserve">　　「此記子游、子夏二人教學方法迥異」，這章經書記載子游跟子夏他們兩個人教學的方法不一樣。「前節是子游的觀感」，這一章書前面這一節講的是子游他的觀感，「後節是子夏的辯論」。子游的看法、觀感，子夏他提出辯論。</w:t>
      </w:r>
      <w:r>
        <w:t xml:space="preserve"> </w:t>
      </w:r>
    </w:p>
    <w:p w14:paraId="7B039DA3" w14:textId="77777777" w:rsidR="00A22922" w:rsidRDefault="00A22922">
      <w:pPr>
        <w:pStyle w:val="a3"/>
      </w:pPr>
      <w:r>
        <w:t xml:space="preserve">　　「子游說，子夏的門人、小子，做些灑水掃地」應對，就是做一些灑水、掃地，客人來，「應對賓客」、接待，「進退禮儀諸事」，做這些事情「還可以」，『抑末也』，「然而，這些末節」，『本之則無，如之何』。子游說，子夏的門人（他教的這些門人），這是枝末，根本就沒有，如之何。「若究其本則無，如何是好。」子游他對子夏教學的觀感。</w:t>
      </w:r>
      <w:r>
        <w:t xml:space="preserve"> </w:t>
      </w:r>
    </w:p>
    <w:p w14:paraId="54C37777" w14:textId="77777777" w:rsidR="00A22922" w:rsidRDefault="00A22922">
      <w:pPr>
        <w:pStyle w:val="a3"/>
      </w:pPr>
      <w:r>
        <w:t xml:space="preserve">　　「子夏聽到了這些話，便嘆息說：」『言游過矣。』「言游說錯了」，子游說這個話不對。</w:t>
      </w:r>
      <w:r>
        <w:t xml:space="preserve"> </w:t>
      </w:r>
    </w:p>
    <w:p w14:paraId="69CAF6CE" w14:textId="77777777" w:rsidR="00A22922" w:rsidRDefault="00A22922">
      <w:pPr>
        <w:pStyle w:val="a3"/>
      </w:pPr>
      <w:r>
        <w:t xml:space="preserve">　　『君子之道，孰先傳焉，孰後倦焉。』「君子之道，皇疏（皇侃的注疏）以為先王之道」，皇侃注疏注解這個君子之道是先王之道。「劉氏恭冕《正義》以為禮樂大道」，就是劉氏恭冕《正義》解釋，以為這個是指禮樂，大道是指禮樂，感覺君子之道就是禮樂的大道。「即子游所謂之本」，就是子游所指的本就是指這個。「劉氏說：此當視人所能學而後傳之。故曰，孰先傳焉，孰後倦焉。倦即誨人不倦之倦，言誰當為先而傳之，誰當為後而倦教，皆因弟子學有淺深，故教之亦異。」這是依照劉氏對於這個的注解。「依劉氏此解，則子夏的意思是說，君子之道，不是我不傳給弟子們。但看誰能先學，我便傳焉。誰到以後始能學，我今且倦於教而已。」這就是說要看這個學生他的情況，誰先能學我就先傳給誰，誰，就是說有的人他是現在還沒辦法學，以後他能學了，我再教給他。</w:t>
      </w:r>
      <w:r>
        <w:t xml:space="preserve"> </w:t>
      </w:r>
    </w:p>
    <w:p w14:paraId="2A6B303A" w14:textId="77777777" w:rsidR="00A22922" w:rsidRDefault="00A22922">
      <w:pPr>
        <w:pStyle w:val="a3"/>
      </w:pPr>
      <w:r>
        <w:t xml:space="preserve">　　下面用譬如。『譬諸草木，區以別矣。君子之道，焉可誣也。』「譬如培植草木，應該區別其種類，而採用不同的培植方法。君子之道，何能不按先後而誣妄施教。」這是子夏用譬喻，好像種植、培植草木，要區別這是哪一種種類，種類不同就採用不同的培植方法，以這個來譬喻傳授君子之道，怎麼能不按照先後而這樣去施教！</w:t>
      </w:r>
      <w:r>
        <w:t xml:space="preserve"> </w:t>
      </w:r>
    </w:p>
    <w:p w14:paraId="6D25F06B" w14:textId="77777777" w:rsidR="00A22922" w:rsidRDefault="00A22922">
      <w:pPr>
        <w:pStyle w:val="a3"/>
      </w:pPr>
      <w:r>
        <w:t xml:space="preserve">　　『有始有卒者，其惟聖人乎。』「孔安國注：終始如一，惟聖人耳。凡事皆有先後次序，始在先，終在後。而此有始有卒的意思，則是自有始即有終，至終仍不離始，始終一貫而不可分。所以孔注（孔安國注解）為終始如一。此義是指教者能將學問的本末圓融一貫的教授弟子，不必循序漸進。但只有聖人教賢人方能如此，非普通</w:t>
      </w:r>
      <w:r>
        <w:lastRenderedPageBreak/>
        <w:t>人所能為。所以說：其惟聖人乎。」所以子夏他講出來對子游這個說法的一個辯論。各人教學的方法有不同，各人的見解也有不同，這是提出兩方面的不同的教學方法。</w:t>
      </w:r>
      <w:r>
        <w:t xml:space="preserve"> </w:t>
      </w:r>
    </w:p>
    <w:p w14:paraId="6385206C" w14:textId="77777777" w:rsidR="00A22922" w:rsidRDefault="00A22922">
      <w:pPr>
        <w:pStyle w:val="a3"/>
      </w:pPr>
      <w:r>
        <w:t xml:space="preserve">　　好，今天這章書我們就學習到這裡。祝大家福慧增長，法喜充滿。阿彌陀佛！</w:t>
      </w:r>
      <w:r>
        <w:t xml:space="preserve"> </w:t>
      </w:r>
    </w:p>
    <w:p w14:paraId="0539AA47" w14:textId="77777777" w:rsidR="00A22922" w:rsidRDefault="00A22922">
      <w:pPr>
        <w:pStyle w:val="a3"/>
      </w:pPr>
      <w:r>
        <w:t xml:space="preserve">　　</w:t>
      </w:r>
    </w:p>
    <w:sectPr w:rsidR="00A229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A9781" w14:textId="77777777" w:rsidR="00A22922" w:rsidRDefault="00A22922" w:rsidP="00CB4D6A">
      <w:r>
        <w:separator/>
      </w:r>
    </w:p>
  </w:endnote>
  <w:endnote w:type="continuationSeparator" w:id="0">
    <w:p w14:paraId="7894EBA0" w14:textId="77777777" w:rsidR="00A22922" w:rsidRDefault="00A22922" w:rsidP="00CB4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7691" w14:textId="77777777" w:rsidR="00A22922" w:rsidRDefault="00A22922" w:rsidP="00CB4D6A">
      <w:r>
        <w:separator/>
      </w:r>
    </w:p>
  </w:footnote>
  <w:footnote w:type="continuationSeparator" w:id="0">
    <w:p w14:paraId="76FD6E5B" w14:textId="77777777" w:rsidR="00A22922" w:rsidRDefault="00A22922" w:rsidP="00CB4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6A"/>
    <w:rsid w:val="007931EE"/>
    <w:rsid w:val="00A22922"/>
    <w:rsid w:val="00CB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497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