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0674" w14:textId="77777777" w:rsidR="004C223B" w:rsidRDefault="004C223B">
      <w:r>
        <w:t xml:space="preserve">每日論語　　悟道法師主講　　（第五三Ｏ集）　　</w:t>
      </w:r>
      <w:r>
        <w:t>2020/5/5</w:t>
      </w:r>
      <w:r>
        <w:t xml:space="preserve">　　台灣　　檔名：</w:t>
      </w:r>
      <w:r>
        <w:t xml:space="preserve">WD20-037-0530 </w:t>
      </w:r>
    </w:p>
    <w:p w14:paraId="061B6D6E" w14:textId="77777777" w:rsidR="004C223B" w:rsidRDefault="004C223B">
      <w:pPr>
        <w:pStyle w:val="a3"/>
      </w:pPr>
      <w:r>
        <w:t xml:space="preserve">　　諸位同學，大家早上好！我們繼續來學習雪廬老人的《論語講要》，〈堯曰篇〉第一章第三節。</w:t>
      </w:r>
      <w:r>
        <w:t xml:space="preserve"> </w:t>
      </w:r>
    </w:p>
    <w:p w14:paraId="6541CDE8" w14:textId="77777777" w:rsidR="004C223B" w:rsidRDefault="004C223B">
      <w:pPr>
        <w:pStyle w:val="a3"/>
      </w:pPr>
      <w:r>
        <w:t xml:space="preserve">　　【曰。予小子履。敢用玄牡。敢昭告于皇皇后帝。有罪不敢赦。帝臣不蔽。簡在帝心。朕躬有罪。無以萬方。萬方有罪。罪在朕躬。】</w:t>
      </w:r>
      <w:r>
        <w:t xml:space="preserve"> </w:t>
      </w:r>
    </w:p>
    <w:p w14:paraId="288518EC" w14:textId="77777777" w:rsidR="004C223B" w:rsidRDefault="004C223B">
      <w:pPr>
        <w:pStyle w:val="a3"/>
      </w:pPr>
      <w:r>
        <w:t xml:space="preserve">　　這是第三節。我們前面學習了第一節，從「堯曰」到「天祿永終」；第二節，「舜亦以命禹」。今天我們學習第三節。第三節，「這是湯伐桀告天之辭」，這是商湯伐夏桀向上天稟告的言辭。</w:t>
      </w:r>
      <w:r>
        <w:t xml:space="preserve"> </w:t>
      </w:r>
    </w:p>
    <w:p w14:paraId="1519CED5" w14:textId="77777777" w:rsidR="004C223B" w:rsidRDefault="004C223B">
      <w:pPr>
        <w:pStyle w:val="a3"/>
      </w:pPr>
      <w:r>
        <w:t xml:space="preserve">　　『曰，予小子履，敢用玄牡，敢昭告于皇皇后帝。』「湯伐桀」，商湯伐夏桀（夏桀是暴君），這個時候就向上天報告說，「我小子履，謹敢用黑牡為祭品，謹敢明告于大大君天帝」。根據「劉氏《正義》」這個注解裡面說：「王者父天母地，為天之子。」一國之王，當王的人，天是他的父，地是他的母，他是天之子，所以古代帝王稱為天子。「湯告天，故謙言小子。」商湯向上天報告，就謙虛說自己是小子。就是天地是父母，自己是天地父母之子，自己是小兒子，謙虛之言。「履，商湯之名」，他的名。「玄是黑色，夏代祭祀用牲尚黑」，這個牲禮，我們一般講祭品，三牲用黑色的來做祭品。「殷尚白，湯在此時，仍用夏禮」，到了商殷，它用祭品就用白的。在夏朝是用黑的，商朝用白的。商湯在討伐夏桀的時候，他祭祀仍然還採用夏朝的禮，「以玄牡為牲」。「《說文》：皇，大也」，皇帝的皇，是大的意思。「皇皇，猶如偉大之義。」我們現在講偉大的，偉大的上天。「《爾雅．釋詁》：后，君也。后帝，尊稱天帝為君。」</w:t>
      </w:r>
      <w:r>
        <w:t xml:space="preserve"> </w:t>
      </w:r>
    </w:p>
    <w:p w14:paraId="1A208498" w14:textId="77777777" w:rsidR="004C223B" w:rsidRDefault="004C223B">
      <w:pPr>
        <w:pStyle w:val="a3"/>
      </w:pPr>
      <w:r>
        <w:t xml:space="preserve">　　『有罪不敢赦，帝臣不蔽，簡在帝心。』這個三句依照皇侃、邢昺這兩種注疏解釋，這兩種注疏大意是說，「湯明告天帝，他伐夏桀，是順天奉法，不敢擅自赦有罪的人。帝是天，帝臣就是桀。桀是天子」，夏桀他是天子，「天子事天，猶如事君」，天子事奉上天，就如同做臣子的人事奉君王一樣，「故說桀是帝臣」。「桀居帝臣之位」，夏桀他居帝臣這個位子，「所犯的罪已不可隱蔽」，造作罪業，施行暴政，「以其簡在天心之故」。「簡作閱字講，簡在帝心，就是天帝心裡看得很清楚的意思。」他的所作所為很殘暴，這是施行惡政，天帝心裡就看得很清楚。「他注」，其他的注解，「引《墨子．兼愛篇》有善不敢蔽、有罪不敢赦之文」，這是雪廬老人他也舉出，有其他的注解是引用《墨子．兼愛篇》裡面有這兩句話，有善不敢蔽、有罪不敢赦這個文，「將此處帝臣解釋為善臣」。「《墨子》所說的是殷湯禱雨之辭，以此解釋《論語》伐桀告天之文並不適合，所以皇邢二疏但依何晏之注，以帝臣為桀。」此地雪廬老人給我們舉出來，有其他的注解引用《墨子．兼愛篇》這個文章，將這個地方的帝臣解釋為善臣。《墨子》所說的是殷湯祈禱上天下雨的禱告辭，以祈禱上天下雨的禱告辭來解釋《論語》這個地方是去討伐桀告天之文就不適合，</w:t>
      </w:r>
      <w:r>
        <w:t>雪廬老人給我們分析，所以依皇邢二疏，以帝臣為桀這個注解來解釋。</w:t>
      </w:r>
      <w:r>
        <w:t xml:space="preserve"> </w:t>
      </w:r>
    </w:p>
    <w:p w14:paraId="6C8B6C12" w14:textId="77777777" w:rsidR="004C223B" w:rsidRDefault="004C223B">
      <w:pPr>
        <w:pStyle w:val="a3"/>
      </w:pPr>
      <w:r>
        <w:t xml:space="preserve">　　下面說：『朕躬有罪，無以萬方。萬方有罪，罪在朕躬。』「《爾雅．釋詁》」，《爾雅．釋詁》這個書裡面注解這個朕，這個我們在看連續劇、古裝片，皇帝都稱自己是朕。「朕，我也」，朕就是我們現在講我。「郭璞注」，郭璞注解朕這</w:t>
      </w:r>
      <w:r>
        <w:lastRenderedPageBreak/>
        <w:t>個字，「古者貴賤皆自稱朕，至秦世始為天子尊稱」。根據郭璞這個注解，古代的人不管你是富貴貧賤，就是說你有地位或者沒地位，稱自己都稱朕，就像我們現在稱我一樣。這個朕，到了秦朝秦始皇統一六國那個時候，才開始為天子的尊稱，只有當皇帝的可以稱朕，其他的人都沒有再稱朕。「孔安國注」，孔安國的注解，「無以萬方，萬方不與也」。「湯」，就是商湯，對上天說，「我本身有罪」，我有罪，「請天帝不要牽連萬方之民」，就是不要牽連到這些人民。如果「萬方之民有罪」，人民有罪，「其罪責由我承擔」。就是人民有罪，這個都是我的過失，我沒有把人民教好，我沒有盡到責任，所以人民所有的罪都由我來承擔，不要牽連到人民，我一個人要來承擔。所以人民有罪就是我的罪，我沒有把他們教好，這個責任在我。這句話也很有名，我們現在人，當領導的人特別要以這個做一個榜樣，下面的人不好，自己都有責任，不能推卸責任。所以古代這種明君帝王都是這樣的。那如果人民有罪，自己責任推卸得乾乾淨淨，好像跟自己都沒關係，肯定他不是明君。一個真正的明君必定是這樣的一個態度。</w:t>
      </w:r>
      <w:r>
        <w:t xml:space="preserve"> </w:t>
      </w:r>
    </w:p>
    <w:p w14:paraId="3BBDD8DD" w14:textId="77777777" w:rsidR="004C223B" w:rsidRDefault="004C223B">
      <w:pPr>
        <w:pStyle w:val="a3"/>
      </w:pPr>
      <w:r>
        <w:t xml:space="preserve">　　好，今天這章書我們就先學習到這裡，這是第三節。下面還有第四節、第五節，〈堯曰篇〉第一章才圓滿。我們今天先學到這一節，第四節我們明天再繼續來學習。祝大家福慧增長，法喜充滿。阿彌陀佛！　　</w:t>
      </w:r>
    </w:p>
    <w:sectPr w:rsidR="004C22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4C6CD" w14:textId="77777777" w:rsidR="004C223B" w:rsidRDefault="004C223B" w:rsidP="00F43BB9">
      <w:r>
        <w:separator/>
      </w:r>
    </w:p>
  </w:endnote>
  <w:endnote w:type="continuationSeparator" w:id="0">
    <w:p w14:paraId="162F9C64" w14:textId="77777777" w:rsidR="004C223B" w:rsidRDefault="004C223B" w:rsidP="00F43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62F66" w14:textId="77777777" w:rsidR="004C223B" w:rsidRDefault="004C223B" w:rsidP="00F43BB9">
      <w:r>
        <w:separator/>
      </w:r>
    </w:p>
  </w:footnote>
  <w:footnote w:type="continuationSeparator" w:id="0">
    <w:p w14:paraId="08E47393" w14:textId="77777777" w:rsidR="004C223B" w:rsidRDefault="004C223B" w:rsidP="00F43B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BB9"/>
    <w:rsid w:val="004C223B"/>
    <w:rsid w:val="007931EE"/>
    <w:rsid w:val="00F4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358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B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B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B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B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