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FD6F" w14:textId="77777777" w:rsidR="008650F7" w:rsidRDefault="008650F7">
      <w:r>
        <w:t>《群書治要３６Ｏ》第一冊</w:t>
      </w:r>
      <w:r>
        <w:t>—</w:t>
      </w:r>
      <w:r>
        <w:t xml:space="preserve">長治久安的根本在君主　　悟道法師主講　　（第二十九集）　　</w:t>
      </w:r>
      <w:r>
        <w:t>2020/10/16</w:t>
      </w:r>
      <w:r>
        <w:t xml:space="preserve">　　華藏淨宗學會　　檔名：</w:t>
      </w:r>
      <w:r>
        <w:t xml:space="preserve">WD20-050-0029 </w:t>
      </w:r>
    </w:p>
    <w:p w14:paraId="26A86251" w14:textId="77777777" w:rsidR="008650F7" w:rsidRDefault="008650F7">
      <w:pPr>
        <w:pStyle w:val="a3"/>
      </w:pPr>
      <w:r>
        <w:t xml:space="preserve">　　諸位同學，我們繼續來學習《群書治要３６Ｏ》第一冊，「君道．反身」。</w:t>
      </w:r>
      <w:r>
        <w:t xml:space="preserve"> </w:t>
      </w:r>
    </w:p>
    <w:p w14:paraId="24D092D9" w14:textId="77777777" w:rsidR="008650F7" w:rsidRDefault="008650F7">
      <w:pPr>
        <w:pStyle w:val="a3"/>
      </w:pPr>
      <w:r>
        <w:t xml:space="preserve">　　【二十九、《傳》曰：禹湯罪己，其興也勃焉；桀紂罪人，其亡也忽焉。由是言之，長民治國之本在身。】</w:t>
      </w:r>
      <w:r>
        <w:t xml:space="preserve"> </w:t>
      </w:r>
    </w:p>
    <w:p w14:paraId="709E4501" w14:textId="77777777" w:rsidR="008650F7" w:rsidRDefault="008650F7">
      <w:pPr>
        <w:pStyle w:val="a3"/>
      </w:pPr>
      <w:r>
        <w:t xml:space="preserve">　　這是《政要論》，《群書治要》第四十七卷。</w:t>
      </w:r>
      <w:r>
        <w:t xml:space="preserve"> </w:t>
      </w:r>
    </w:p>
    <w:p w14:paraId="02CA1DB8" w14:textId="77777777" w:rsidR="008650F7" w:rsidRDefault="008650F7">
      <w:pPr>
        <w:pStyle w:val="a3"/>
      </w:pPr>
      <w:r>
        <w:t xml:space="preserve">　　「《左傳》上說：夏禹、商湯罪責自己」，就是罪過都是責備自己，「因此德行、智慧、能力不斷提升，自然人心凝聚，他們的國家勃然興盛」；夏桀、商紂有罪過都是怪罪別人，都把責任推給別人，「因此自身過惡不斷增長，自然人心離散，他們的國家迅速滅亡」。「由此可見，使國家長治久安的根本在於君主自身。」這個君主（領導人）他自己本身，就是罪過自己來承當，反省自己、改過。因此德行、智慧、能力就不斷的向上提升，這樣人心自然能夠凝聚，他們國家就能夠勃然興盛；如果反過來，舉出夏桀、商紂，有罪過都是怪罪別人，自己的過惡不能改，而且不斷的增長，這樣全國人心自然離散，他的國家很快就滅亡。所以要使一個國家長治久安，根本就在於君主（領導人）他自己本身。</w:t>
      </w:r>
      <w:r>
        <w:t xml:space="preserve"> </w:t>
      </w:r>
    </w:p>
    <w:p w14:paraId="1EE2D41E" w14:textId="77777777" w:rsidR="008650F7" w:rsidRDefault="008650F7">
      <w:pPr>
        <w:pStyle w:val="a3"/>
      </w:pPr>
      <w:r>
        <w:t xml:space="preserve">　　好，這一條我們就學習到這裡。祝大家福慧增長，法喜充滿。阿彌陀佛！　　</w:t>
      </w:r>
    </w:p>
    <w:sectPr w:rsidR="008650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53A7" w14:textId="77777777" w:rsidR="008650F7" w:rsidRDefault="008650F7" w:rsidP="00F40FC3">
      <w:r>
        <w:separator/>
      </w:r>
    </w:p>
  </w:endnote>
  <w:endnote w:type="continuationSeparator" w:id="0">
    <w:p w14:paraId="632261BA" w14:textId="77777777" w:rsidR="008650F7" w:rsidRDefault="008650F7" w:rsidP="00F40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2B7B" w14:textId="77777777" w:rsidR="008650F7" w:rsidRDefault="008650F7" w:rsidP="00F40FC3">
      <w:r>
        <w:separator/>
      </w:r>
    </w:p>
  </w:footnote>
  <w:footnote w:type="continuationSeparator" w:id="0">
    <w:p w14:paraId="7A039125" w14:textId="77777777" w:rsidR="008650F7" w:rsidRDefault="008650F7" w:rsidP="00F40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C3"/>
    <w:rsid w:val="007931EE"/>
    <w:rsid w:val="008650F7"/>
    <w:rsid w:val="00F4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EBB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