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D23F" w14:textId="77777777" w:rsidR="00F12D98" w:rsidRDefault="00F12D98">
      <w:r>
        <w:t>《群書治要３６Ｏ》第一冊</w:t>
      </w:r>
      <w:r>
        <w:t>—</w:t>
      </w:r>
      <w:r>
        <w:t xml:space="preserve">忠臣如何事君　　悟道法師主講　　（第六十七集）　　</w:t>
      </w:r>
      <w:r>
        <w:t>2020/11/23</w:t>
      </w:r>
      <w:r>
        <w:t xml:space="preserve">　　華藏淨宗學會　　檔名：</w:t>
      </w:r>
      <w:r>
        <w:t xml:space="preserve">WD20-050-0067 </w:t>
      </w:r>
    </w:p>
    <w:p w14:paraId="016B8093" w14:textId="77777777" w:rsidR="00F12D98" w:rsidRDefault="00F12D98">
      <w:pPr>
        <w:pStyle w:val="a3"/>
      </w:pPr>
      <w:r>
        <w:t xml:space="preserve">　　諸位同學，大家好！我們繼續來學習《群書治要３６Ｏ》第一冊，「臣術．勸諫」。</w:t>
      </w:r>
      <w:r>
        <w:t xml:space="preserve"> </w:t>
      </w:r>
    </w:p>
    <w:p w14:paraId="14303809" w14:textId="77777777" w:rsidR="00F12D98" w:rsidRDefault="00F12D98">
      <w:pPr>
        <w:pStyle w:val="a3"/>
      </w:pPr>
      <w:r>
        <w:t xml:space="preserve">　　【六十七、景公問晏子曰：「忠臣之事君，何若？」對曰：「有難不死，出亡不送。」公不悅曰：「君裂地而富之，疏爵而貴之，有難不死，出亡不送，其說何也？」對曰：「言而見用，終身無難，臣何死焉；謀而見從，終身不出，臣何送焉。若言不用，有難而死，是妄死也；謀而不從，出亡而送，是詐偽也。忠臣也者，能納善於君，而不與君陷於難者也。」】</w:t>
      </w:r>
      <w:r>
        <w:t xml:space="preserve"> </w:t>
      </w:r>
    </w:p>
    <w:p w14:paraId="18E26054" w14:textId="77777777" w:rsidR="00F12D98" w:rsidRDefault="00F12D98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3F963831" w14:textId="77777777" w:rsidR="00F12D98" w:rsidRDefault="00F12D98">
      <w:pPr>
        <w:pStyle w:val="a3"/>
      </w:pPr>
      <w:r>
        <w:t xml:space="preserve">　　「齊景公問晏子：忠臣應該如何輔佐國君？晏子回答說：國君有危難，忠臣不送死；國君出外逃亡，忠臣不送行。」景公聽了很不高興的說，君主分封土地給臣子，使臣子能夠富足；分封爵位給臣子，使臣子顯貴，君主有災難，臣子卻不願意捨身拼死，「君主出逃臣子卻不送行，這種說法是何道理？」景公聽到晏子這樣的回答，當然心裡不高興了，那是什麼道理？「晏子答道」，晏子回答，「諫言如果被採用，國君一生都沒有危難」，忠臣何必需要去送死？「謀劃如果被國君聽從」，採納，「國君終身不至於逃亡」，忠臣何必需要去送行？如果諫言，勸諫國君的話不被國君採用，「國君有危難而忠臣跟著去送死，那是白白送死！如果謀劃不被國君採納，國君逃亡而忠臣送行，那是欺騙、偽善！所謂的忠臣，是善於向君主進諫良策」，就是勸諫好的政策。如果君主採納忠臣所建議的這些良好的政策，國家不會敗亡，國君不用逃亡，忠臣也不必去送死。所以忠臣是善於向君主進諫良策，「而不是和君主一起陷於危難」。所以這一條是晏子回答景公的一段話，這段話也是給所有團體領導人的一個很好的警策，就是要接受忠臣的良策，這些建議要能夠接受，自然就沒有敗亡這個情形發生。所以勸諫也非常重要，在一個國家、任何一個團體，必須要有</w:t>
      </w:r>
      <w:r>
        <w:t>忠臣對上面領導進諫良策。</w:t>
      </w:r>
      <w:r>
        <w:t xml:space="preserve"> </w:t>
      </w:r>
    </w:p>
    <w:p w14:paraId="00F67E71" w14:textId="77777777" w:rsidR="00F12D98" w:rsidRDefault="00F12D98">
      <w:pPr>
        <w:pStyle w:val="a3"/>
      </w:pPr>
      <w:r>
        <w:t xml:space="preserve">　　好，這一條我們就學習到這裡。祝大家福慧增長，法喜充滿。阿彌陀佛！　　</w:t>
      </w:r>
    </w:p>
    <w:sectPr w:rsidR="00F12D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BD3A1" w14:textId="77777777" w:rsidR="00F12D98" w:rsidRDefault="00F12D98" w:rsidP="0011348A">
      <w:r>
        <w:separator/>
      </w:r>
    </w:p>
  </w:endnote>
  <w:endnote w:type="continuationSeparator" w:id="0">
    <w:p w14:paraId="6D899A86" w14:textId="77777777" w:rsidR="00F12D98" w:rsidRDefault="00F12D98" w:rsidP="00113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3E0B9" w14:textId="77777777" w:rsidR="00F12D98" w:rsidRDefault="00F12D98" w:rsidP="0011348A">
      <w:r>
        <w:separator/>
      </w:r>
    </w:p>
  </w:footnote>
  <w:footnote w:type="continuationSeparator" w:id="0">
    <w:p w14:paraId="76C0D69A" w14:textId="77777777" w:rsidR="00F12D98" w:rsidRDefault="00F12D98" w:rsidP="001134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8A"/>
    <w:rsid w:val="0011348A"/>
    <w:rsid w:val="007931EE"/>
    <w:rsid w:val="00F1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3FE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4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4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4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4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