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4FBC" w14:textId="77777777" w:rsidR="00BC3420" w:rsidRDefault="00BC3420">
      <w:r>
        <w:t>《群書治要３６Ｏ》第一冊</w:t>
      </w:r>
      <w:r>
        <w:t>—</w:t>
      </w:r>
      <w:r>
        <w:t xml:space="preserve">孝子具備的條件有哪五方面？　　悟道法師主講　　（第八十九集）　　</w:t>
      </w:r>
      <w:r>
        <w:t>2020/12/15</w:t>
      </w:r>
      <w:r>
        <w:t xml:space="preserve">　　華藏淨宗學會　　檔名：</w:t>
      </w:r>
      <w:r>
        <w:t xml:space="preserve">WD20-050-0089 </w:t>
      </w:r>
    </w:p>
    <w:p w14:paraId="3114B5D7" w14:textId="77777777" w:rsidR="00BC3420" w:rsidRDefault="00BC3420">
      <w:pPr>
        <w:pStyle w:val="a3"/>
      </w:pPr>
      <w:r>
        <w:t xml:space="preserve">　　諸位同學，大家好！我們繼續來學習《群書治要３６Ｏ》第一冊，第三單元、「貴德．孝悌」。</w:t>
      </w:r>
      <w:r>
        <w:t xml:space="preserve"> </w:t>
      </w:r>
    </w:p>
    <w:p w14:paraId="0290CB15" w14:textId="77777777" w:rsidR="00BC3420" w:rsidRDefault="00BC3420">
      <w:pPr>
        <w:pStyle w:val="a3"/>
      </w:pPr>
      <w:r>
        <w:t xml:space="preserve">　　【八十九、子曰：孝子之事親，居則致其敬；養則致其樂；病則致其憂；喪則致其哀；祭則致其嚴；五者備矣，然後能事親。】</w:t>
      </w:r>
      <w:r>
        <w:t xml:space="preserve"> </w:t>
      </w:r>
    </w:p>
    <w:p w14:paraId="07CB8D2B" w14:textId="77777777" w:rsidR="00BC3420" w:rsidRDefault="00BC3420">
      <w:pPr>
        <w:pStyle w:val="a3"/>
      </w:pPr>
      <w:r>
        <w:t xml:space="preserve">　　這一條出自於《孝經》，卷九。</w:t>
      </w:r>
      <w:r>
        <w:t xml:space="preserve"> </w:t>
      </w:r>
    </w:p>
    <w:p w14:paraId="26F3685E" w14:textId="77777777" w:rsidR="00BC3420" w:rsidRDefault="00BC3420">
      <w:pPr>
        <w:pStyle w:val="a3"/>
      </w:pPr>
      <w:r>
        <w:t xml:space="preserve">　　孔子說：孝子事奉父母雙親，日常居家的時候，應該盡到恭敬的心去侍候；奉養的時候，應該盡到和悅的心去服侍，讓父母親能夠心裡歡喜；父母生病的時候，應盡到憂慮的心去照顧；父母去世，應盡到哀痛的心去料理後事；父母過世了，到了祭祀的時候，應該要盡到嚴肅的心去祭祀。以上這五點，這五個方面完全能做到，這樣才能算是盡到事奉雙親的責任。這是一個孝子具備的條件，就是這五方面。孝子這五方面都要具備。每一方面都是我們學習的地方，所以『事親』就是要孝敬，奉養要讓父母能快樂，生病的時候要憂心、憂慮去照顧。『喪』，過世要『致其哀』，在祭祀要嚴肅，這五方面都要具備，然後才能夠真正做到「事親」。</w:t>
      </w:r>
      <w:r>
        <w:t xml:space="preserve"> </w:t>
      </w:r>
    </w:p>
    <w:p w14:paraId="62F79C07" w14:textId="77777777" w:rsidR="00BC3420" w:rsidRDefault="00BC3420">
      <w:pPr>
        <w:pStyle w:val="a3"/>
      </w:pPr>
      <w:r>
        <w:t xml:space="preserve">　　好，這一條我們就學習到這裡。祝大家福慧增長，法喜充滿。阿彌陀佛！　　</w:t>
      </w:r>
    </w:p>
    <w:sectPr w:rsidR="00BC34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0E82B" w14:textId="77777777" w:rsidR="00BC3420" w:rsidRDefault="00BC3420" w:rsidP="001174D3">
      <w:r>
        <w:separator/>
      </w:r>
    </w:p>
  </w:endnote>
  <w:endnote w:type="continuationSeparator" w:id="0">
    <w:p w14:paraId="6C799374" w14:textId="77777777" w:rsidR="00BC3420" w:rsidRDefault="00BC3420" w:rsidP="00117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ACC49" w14:textId="77777777" w:rsidR="00BC3420" w:rsidRDefault="00BC3420" w:rsidP="001174D3">
      <w:r>
        <w:separator/>
      </w:r>
    </w:p>
  </w:footnote>
  <w:footnote w:type="continuationSeparator" w:id="0">
    <w:p w14:paraId="158F92ED" w14:textId="77777777" w:rsidR="00BC3420" w:rsidRDefault="00BC3420" w:rsidP="001174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4D3"/>
    <w:rsid w:val="001174D3"/>
    <w:rsid w:val="007931EE"/>
    <w:rsid w:val="00BC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544B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74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74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74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74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