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7912" w14:textId="77777777" w:rsidR="004D60E6" w:rsidRDefault="004D60E6">
      <w:r>
        <w:t>《群書治要３６Ｏ》第一冊</w:t>
      </w:r>
      <w:r>
        <w:t>—</w:t>
      </w:r>
      <w:r>
        <w:t xml:space="preserve">貧賤友，糟糠妻　　悟道法師主講　　（第九十七集）　　</w:t>
      </w:r>
      <w:r>
        <w:t>2020/12/23</w:t>
      </w:r>
      <w:r>
        <w:t xml:space="preserve">　　華藏淨宗學會　　檔名：</w:t>
      </w:r>
      <w:r>
        <w:t xml:space="preserve">WD20-050-0097 </w:t>
      </w:r>
    </w:p>
    <w:p w14:paraId="67804E20" w14:textId="77777777" w:rsidR="004D60E6" w:rsidRDefault="004D60E6">
      <w:pPr>
        <w:pStyle w:val="a3"/>
      </w:pPr>
      <w:r>
        <w:t xml:space="preserve">　　諸位同學，大家好！我們繼續來學習《群書治要３６Ｏ》第一冊，第三單元「貴德．仁義」。</w:t>
      </w:r>
      <w:r>
        <w:t xml:space="preserve"> </w:t>
      </w:r>
    </w:p>
    <w:p w14:paraId="4042105F" w14:textId="77777777" w:rsidR="004D60E6" w:rsidRDefault="004D60E6">
      <w:pPr>
        <w:pStyle w:val="a3"/>
      </w:pPr>
      <w:r>
        <w:t xml:space="preserve">　　【九十七、貧賤之知不可忘，糟糠之妻不下堂。】</w:t>
      </w:r>
      <w:r>
        <w:t xml:space="preserve"> </w:t>
      </w:r>
    </w:p>
    <w:p w14:paraId="417ADD49" w14:textId="77777777" w:rsidR="004D60E6" w:rsidRDefault="004D60E6">
      <w:pPr>
        <w:pStyle w:val="a3"/>
      </w:pPr>
      <w:r>
        <w:t xml:space="preserve">　　這一條出自於卷二十二，《後漢書》二。</w:t>
      </w:r>
      <w:r>
        <w:t xml:space="preserve"> </w:t>
      </w:r>
    </w:p>
    <w:p w14:paraId="21880C05" w14:textId="77777777" w:rsidR="004D60E6" w:rsidRDefault="004D60E6">
      <w:pPr>
        <w:pStyle w:val="a3"/>
      </w:pPr>
      <w:r>
        <w:t xml:space="preserve">　　『貧賤之知不可忘』，我們在貧賤患難當中的知交朋友，縱使自己後來飛黃騰達了，也不可以忘記我們在貧賤患難之中的知交朋友，不能忘記。『糟糠之妻不下堂』，「糟糠之妻」就是貧困時候與我們共患難的妻子，糟是酒渣，糠是穀皮，糟糠比喻粗劣的食物，就是妻子。妻子在我們貧賤的時候跟我們同甘苦共患難，等到我們發達了，不能拋棄、遺棄。「下堂」就是形容女子被丈夫遺棄或者和丈夫離異，現在說離婚了。自己發達了，在自己貧賤時共患難、跟自己同甘共苦的妻子就不要了，這個人就很薄情、很無情，這是絕對錯誤的。所以，不可以自己發達了，跟自己共患難的妻子就不要了，這個絕對是錯誤的。所以這一條主要告訴我們，做人不能忘本，「縱使自己飛黃騰達了，患難當中的知交朋友不能遺忘」，跟我們同甘苦共患難的妻子也決定不能夠拋棄，這才是正確的做人之道。</w:t>
      </w:r>
      <w:r>
        <w:t xml:space="preserve"> </w:t>
      </w:r>
    </w:p>
    <w:p w14:paraId="7B41CEC4" w14:textId="77777777" w:rsidR="004D60E6" w:rsidRDefault="004D60E6">
      <w:pPr>
        <w:pStyle w:val="a3"/>
      </w:pPr>
      <w:r>
        <w:t xml:space="preserve">　　這一條我們就學習到這裡。祝大家福慧增長，法喜充滿。阿彌陀佛！　　</w:t>
      </w:r>
    </w:p>
    <w:sectPr w:rsidR="004D60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AFC9E" w14:textId="77777777" w:rsidR="004D60E6" w:rsidRDefault="004D60E6" w:rsidP="00C223A2">
      <w:r>
        <w:separator/>
      </w:r>
    </w:p>
  </w:endnote>
  <w:endnote w:type="continuationSeparator" w:id="0">
    <w:p w14:paraId="4F09C910" w14:textId="77777777" w:rsidR="004D60E6" w:rsidRDefault="004D60E6" w:rsidP="00C22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7E0B" w14:textId="77777777" w:rsidR="004D60E6" w:rsidRDefault="004D60E6" w:rsidP="00C223A2">
      <w:r>
        <w:separator/>
      </w:r>
    </w:p>
  </w:footnote>
  <w:footnote w:type="continuationSeparator" w:id="0">
    <w:p w14:paraId="7F942509" w14:textId="77777777" w:rsidR="004D60E6" w:rsidRDefault="004D60E6" w:rsidP="00C22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A2"/>
    <w:rsid w:val="004D60E6"/>
    <w:rsid w:val="007931EE"/>
    <w:rsid w:val="00C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56C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