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D03A" w14:textId="77777777" w:rsidR="00592AB5" w:rsidRDefault="00592AB5">
      <w:r>
        <w:t>《群書治要３６Ｏ》第一冊</w:t>
      </w:r>
      <w:r>
        <w:t>—</w:t>
      </w:r>
      <w:r>
        <w:t xml:space="preserve">忠臣出孝子之門　　悟道法師主講　　（第一七六集）　　</w:t>
      </w:r>
      <w:r>
        <w:t>2021/3/12</w:t>
      </w:r>
      <w:r>
        <w:t xml:space="preserve">　　華藏淨宗學會　　檔名：</w:t>
      </w:r>
      <w:r>
        <w:t xml:space="preserve">WD20-050-0176 </w:t>
      </w:r>
    </w:p>
    <w:p w14:paraId="0FE62CD2" w14:textId="77777777" w:rsidR="00592AB5" w:rsidRDefault="00592AB5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0C522F69" w14:textId="77777777" w:rsidR="00592AB5" w:rsidRDefault="00592AB5">
      <w:pPr>
        <w:pStyle w:val="a3"/>
      </w:pPr>
      <w:r>
        <w:t xml:space="preserve">　　【一七六、孔子曰：「事親孝，故忠可移於君。」是以求忠臣，必於孝子之門。】</w:t>
      </w:r>
      <w:r>
        <w:t xml:space="preserve"> </w:t>
      </w:r>
    </w:p>
    <w:p w14:paraId="47F18EAF" w14:textId="77777777" w:rsidR="00592AB5" w:rsidRDefault="00592AB5">
      <w:pPr>
        <w:pStyle w:val="a3"/>
      </w:pPr>
      <w:r>
        <w:t xml:space="preserve">　　這一條出自於卷二十二，《後漢書》二。</w:t>
      </w:r>
      <w:r>
        <w:t xml:space="preserve"> </w:t>
      </w:r>
    </w:p>
    <w:p w14:paraId="18FBAA9D" w14:textId="77777777" w:rsidR="00592AB5" w:rsidRDefault="00592AB5">
      <w:pPr>
        <w:pStyle w:val="a3"/>
      </w:pPr>
      <w:r>
        <w:t xml:space="preserve">　　「孔子說：奉事父母做到孝順恭敬，因此能把這種孝敬心轉移去效忠君主。所以尋找忠臣，一定要從有孝子的家庭中選拔。」這一條也就是說求忠臣必於孝子之家，忠是從孝來的，孝是根本，在家能孝順恭敬父母，那麼到外面就能效忠君主、效忠領導人，這個是必然的一個道理。所以孔子講這個就是從根本上去找忠臣，看哪一家出孝子，就請他出來為國家辦事，他必定能夠盡忠。所以在漢朝這個時候，國家舉薦人才都是舉孝廉，第一個是孝，第二個廉。在家能孝順父母，那麼出來為國家辦事，必定能夠廉潔效忠於國家。</w:t>
      </w:r>
      <w:r>
        <w:t xml:space="preserve"> </w:t>
      </w:r>
    </w:p>
    <w:p w14:paraId="09CD171D" w14:textId="77777777" w:rsidR="00592AB5" w:rsidRDefault="00592AB5">
      <w:pPr>
        <w:pStyle w:val="a3"/>
      </w:pPr>
      <w:r>
        <w:t xml:space="preserve">　　好，這一條我們就學習到這裡。祝大家福慧增長，法喜充滿。阿彌陀佛！　　</w:t>
      </w:r>
    </w:p>
    <w:sectPr w:rsidR="00592A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4783" w14:textId="77777777" w:rsidR="00592AB5" w:rsidRDefault="00592AB5" w:rsidP="00261514">
      <w:r>
        <w:separator/>
      </w:r>
    </w:p>
  </w:endnote>
  <w:endnote w:type="continuationSeparator" w:id="0">
    <w:p w14:paraId="0CD68BFD" w14:textId="77777777" w:rsidR="00592AB5" w:rsidRDefault="00592AB5" w:rsidP="00261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6B56" w14:textId="77777777" w:rsidR="00592AB5" w:rsidRDefault="00592AB5" w:rsidP="00261514">
      <w:r>
        <w:separator/>
      </w:r>
    </w:p>
  </w:footnote>
  <w:footnote w:type="continuationSeparator" w:id="0">
    <w:p w14:paraId="4587FE84" w14:textId="77777777" w:rsidR="00592AB5" w:rsidRDefault="00592AB5" w:rsidP="00261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14"/>
    <w:rsid w:val="00261514"/>
    <w:rsid w:val="00592AB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533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