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8022" w14:textId="77777777" w:rsidR="003E2A4F" w:rsidRDefault="003E2A4F">
      <w:r>
        <w:t>《群書治要３６Ｏ》第一冊</w:t>
      </w:r>
      <w:r>
        <w:t>—</w:t>
      </w:r>
      <w:r>
        <w:t xml:space="preserve">觀人有三察　　悟道法師主講　　（第一八七集）　　</w:t>
      </w:r>
      <w:r>
        <w:t>2021/3/23</w:t>
      </w:r>
      <w:r>
        <w:t xml:space="preserve">　　華藏淨宗學會　　檔名：</w:t>
      </w:r>
      <w:r>
        <w:t xml:space="preserve">WD20-050-0187 </w:t>
      </w:r>
    </w:p>
    <w:p w14:paraId="0DBC8154" w14:textId="77777777" w:rsidR="003E2A4F" w:rsidRDefault="003E2A4F">
      <w:pPr>
        <w:pStyle w:val="a3"/>
      </w:pPr>
      <w:r>
        <w:t xml:space="preserve">　　諸位同學，大家好！我們繼續來學習《群書治要３６Ｏ》第一冊，第四單元「為政」，二、「知人」。</w:t>
      </w:r>
      <w:r>
        <w:t xml:space="preserve"> </w:t>
      </w:r>
    </w:p>
    <w:p w14:paraId="13BA396D" w14:textId="77777777" w:rsidR="003E2A4F" w:rsidRDefault="003E2A4F">
      <w:pPr>
        <w:pStyle w:val="a3"/>
      </w:pPr>
      <w:r>
        <w:t xml:space="preserve">　　【一八七、故聽言不如觀事，觀事不如觀行。聽言必審其本，觀事必挍其實，觀行必考其跡。參三者而詳之，近少失矣。】</w:t>
      </w:r>
      <w:r>
        <w:t xml:space="preserve"> </w:t>
      </w:r>
    </w:p>
    <w:p w14:paraId="6A39D021" w14:textId="77777777" w:rsidR="003E2A4F" w:rsidRDefault="003E2A4F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46F27168" w14:textId="77777777" w:rsidR="003E2A4F" w:rsidRDefault="003E2A4F">
      <w:pPr>
        <w:pStyle w:val="a3"/>
      </w:pPr>
      <w:r>
        <w:t xml:space="preserve">　　這一條就是觀察人。觀察一個人，不能只有聽他講的言論，所以「聽取言論不如觀察事情」，去觀察他平常所做的是什麼事情。「觀察事情不如觀察行為」，觀察平常做的事情不如再去觀察他本身行為。這個行為就是身口意三業，他的所做所為。「聽取言論必須審察其中的來源、動機」，聽一個人他發表的言論，必須先審慎去觀察其中它的來源是從什麼地方來的，為什麼他會談這些言論，他講這些話、這些言論的動機是什麼，要先審慎的去觀察、考察、審察。「觀察事情必須驗證實際狀況」，觀察事情也必須再進一步去驗證實際的狀況，這個事情做的結果是什麼。觀察行為必須考證事情的前因後果，觀察行為必須要去考證，去考察、去證實這個事情它是什麼因、什麼果，前面是什麼樣的因，後面又是什麼樣的結果，他為什麼這麼做。如果觀察一個人，把這三方面綜合起來分析，就比較不會出差錯、看錯人。「知人」一八七，教我們要用這樣的一個態度、準則去觀人。</w:t>
      </w:r>
      <w:r>
        <w:t xml:space="preserve"> </w:t>
      </w:r>
    </w:p>
    <w:p w14:paraId="5DF58071" w14:textId="77777777" w:rsidR="003E2A4F" w:rsidRDefault="003E2A4F">
      <w:pPr>
        <w:pStyle w:val="a3"/>
      </w:pPr>
      <w:r>
        <w:t xml:space="preserve">　　好，這一條我們就學習到這裡。祝大家福慧增長，法喜充滿。阿彌陀佛！　　</w:t>
      </w:r>
    </w:p>
    <w:sectPr w:rsidR="003E2A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5F767" w14:textId="77777777" w:rsidR="003E2A4F" w:rsidRDefault="003E2A4F" w:rsidP="00BD1FC0">
      <w:r>
        <w:separator/>
      </w:r>
    </w:p>
  </w:endnote>
  <w:endnote w:type="continuationSeparator" w:id="0">
    <w:p w14:paraId="6BCE83D4" w14:textId="77777777" w:rsidR="003E2A4F" w:rsidRDefault="003E2A4F" w:rsidP="00BD1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2BBEC" w14:textId="77777777" w:rsidR="003E2A4F" w:rsidRDefault="003E2A4F" w:rsidP="00BD1FC0">
      <w:r>
        <w:separator/>
      </w:r>
    </w:p>
  </w:footnote>
  <w:footnote w:type="continuationSeparator" w:id="0">
    <w:p w14:paraId="421C522E" w14:textId="77777777" w:rsidR="003E2A4F" w:rsidRDefault="003E2A4F" w:rsidP="00BD1F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FC0"/>
    <w:rsid w:val="003E2A4F"/>
    <w:rsid w:val="007931EE"/>
    <w:rsid w:val="00BD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89CA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1F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1F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1F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1F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