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223F6" w14:textId="77777777" w:rsidR="0014011D" w:rsidRDefault="0014011D">
      <w:r>
        <w:t>《群書治要３６Ｏ》第一冊</w:t>
      </w:r>
      <w:r>
        <w:t>—</w:t>
      </w:r>
      <w:r>
        <w:t xml:space="preserve">非德功不授爵祿　　悟道法師主講　　（第二六七集）　　</w:t>
      </w:r>
      <w:r>
        <w:t>2021/6/11</w:t>
      </w:r>
      <w:r>
        <w:t xml:space="preserve">　　華藏淨宗學會　　檔名：</w:t>
      </w:r>
      <w:r>
        <w:t xml:space="preserve">WD20-050-0267 </w:t>
      </w:r>
    </w:p>
    <w:p w14:paraId="5F4A8907" w14:textId="77777777" w:rsidR="0014011D" w:rsidRDefault="0014011D">
      <w:pPr>
        <w:pStyle w:val="a3"/>
      </w:pPr>
      <w:r>
        <w:t xml:space="preserve">　　諸位同學，大家好！我們繼續來學習《群書治要３６Ｏ》第一冊，第四單元「為政」，十一、「賞罰」。</w:t>
      </w:r>
      <w:r>
        <w:t xml:space="preserve"> </w:t>
      </w:r>
    </w:p>
    <w:p w14:paraId="4977CAA0" w14:textId="77777777" w:rsidR="0014011D" w:rsidRDefault="0014011D">
      <w:pPr>
        <w:pStyle w:val="a3"/>
      </w:pPr>
      <w:r>
        <w:t xml:space="preserve">　　【二六七、爵祿者，國柄之本，而貴富之所由，不可以不重也。然則爵非德不授，祿非功不與。二教既立，則良士不敢以賤德受貴爵，勞臣不敢以微功受重祿，況無德無功，而敢虛干爵祿之制乎！】</w:t>
      </w:r>
      <w:r>
        <w:t xml:space="preserve"> </w:t>
      </w:r>
    </w:p>
    <w:p w14:paraId="13A54A59" w14:textId="77777777" w:rsidR="0014011D" w:rsidRDefault="0014011D">
      <w:pPr>
        <w:pStyle w:val="a3"/>
      </w:pPr>
      <w:r>
        <w:t xml:space="preserve">　　這一條出自於卷四十九，《傅子》。</w:t>
      </w:r>
      <w:r>
        <w:t xml:space="preserve"> </w:t>
      </w:r>
    </w:p>
    <w:p w14:paraId="4721F33A" w14:textId="77777777" w:rsidR="0014011D" w:rsidRDefault="0014011D">
      <w:pPr>
        <w:pStyle w:val="a3"/>
      </w:pPr>
      <w:r>
        <w:t xml:space="preserve">　　『爵祿者，國柄之本。』「國柄」這兩個字，是國家的權柄，國家它的一個權力，柄形容手上握著的這個東西，國柄之本就是「爵祿」。「官爵和俸祿，是國家權力的根本」，『而貴富之所由』，「是達到富貴的途徑，不能不重視」。『然則爵非德不授，祿非功不與。』既然是如此的重要，爵祿是國家的權柄，也就是它的權力了，「沒有美德」，就是我們現在講沒有功勞、沒有德行，「就不應該授予爵位」，爵位就是官位。「沒有功勞就不能給予俸祿」，就是沒有德行不能授予他爵位，沒有功勞不能給他俸祿，俸祿就是金錢。『二教既立』，就是「授予爵位和俸祿的政教制度已經設立」，這兩方面制度都已經設立了，『則良士不敢以賤德受貴爵，勞臣不敢以微功受重祿』，授予爵位和俸祿的政教制度已經設立，「那麼賢良的士人」，就是讀書人，「就不敢以淺薄的德行去接受高貴的爵位」。這個我們一般講德行不夠，那麼你在高的位置，我們一般講德不配位，那就不好了。「有功勞的大臣就不敢以小功去接受優厚的俸祿」，有功勞，但是不是大功勞，去接受很優厚的俸祿，這個也不對稱了。所以這個要適合他的德行、他的功勞，根據他的德行、功勞來封賞他的爵位跟俸祿，這樣才是正確的。『況無德無功，而敢虛干爵祿之制乎！』「況」就</w:t>
      </w:r>
      <w:r>
        <w:t>是何況，「沒有德行、毫無功勞的人」，怎麼敢白白的去追求爵位跟俸祿？爵位跟德行一定要相稱，俸祿跟功勞也一定要相符合，這樣才是賞罰很重要的一個原則。</w:t>
      </w:r>
      <w:r>
        <w:t xml:space="preserve"> </w:t>
      </w:r>
    </w:p>
    <w:p w14:paraId="7C7CC910" w14:textId="77777777" w:rsidR="0014011D" w:rsidRDefault="0014011D">
      <w:pPr>
        <w:pStyle w:val="a3"/>
      </w:pPr>
      <w:r>
        <w:t xml:space="preserve">　　好，這一條我們就學習到這裡。祝大家福慧增長，法喜充滿。阿彌陀佛！　　</w:t>
      </w:r>
    </w:p>
    <w:sectPr w:rsidR="0014011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43FF4" w14:textId="77777777" w:rsidR="0014011D" w:rsidRDefault="0014011D" w:rsidP="00FC51AE">
      <w:r>
        <w:separator/>
      </w:r>
    </w:p>
  </w:endnote>
  <w:endnote w:type="continuationSeparator" w:id="0">
    <w:p w14:paraId="49A4D5DD" w14:textId="77777777" w:rsidR="0014011D" w:rsidRDefault="0014011D" w:rsidP="00FC51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62E4C" w14:textId="77777777" w:rsidR="0014011D" w:rsidRDefault="0014011D" w:rsidP="00FC51AE">
      <w:r>
        <w:separator/>
      </w:r>
    </w:p>
  </w:footnote>
  <w:footnote w:type="continuationSeparator" w:id="0">
    <w:p w14:paraId="1E20A683" w14:textId="77777777" w:rsidR="0014011D" w:rsidRDefault="0014011D" w:rsidP="00FC51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1AE"/>
    <w:rsid w:val="0014011D"/>
    <w:rsid w:val="007931EE"/>
    <w:rsid w:val="00FC5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9D155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51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51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51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51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732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2026-08-13T00:34:00Z</dcterms:created>
  <dcterms:modified xsi:type="dcterms:W3CDTF">2026-08-13T00:34:00Z</dcterms:modified>
</cp:coreProperties>
</file>