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626A" w14:textId="77777777" w:rsidR="00C4621B" w:rsidRDefault="00C4621B">
      <w:r>
        <w:t>《群書治要３６Ｏ》第一冊</w:t>
      </w:r>
      <w:r>
        <w:t>—</w:t>
      </w:r>
      <w:r>
        <w:t xml:space="preserve">視兵如親　　悟道法師主講　　（第二八一集）　　</w:t>
      </w:r>
      <w:r>
        <w:t>2021/6/25</w:t>
      </w:r>
      <w:r>
        <w:t xml:space="preserve">　　華藏淨宗學會　　檔名：</w:t>
      </w:r>
      <w:r>
        <w:t xml:space="preserve">WD20-050-0281 </w:t>
      </w:r>
    </w:p>
    <w:p w14:paraId="1F4D559A" w14:textId="77777777" w:rsidR="00C4621B" w:rsidRDefault="00C4621B">
      <w:pPr>
        <w:pStyle w:val="a3"/>
      </w:pPr>
      <w:r>
        <w:t xml:space="preserve">　　諸位同學，大家好！我們繼續來學習《群書治要３６Ｏ》第一冊，第四單元「為政」，十四、「將兵」。</w:t>
      </w:r>
      <w:r>
        <w:t xml:space="preserve"> </w:t>
      </w:r>
    </w:p>
    <w:p w14:paraId="74D9A74B" w14:textId="77777777" w:rsidR="00C4621B" w:rsidRDefault="00C4621B">
      <w:pPr>
        <w:pStyle w:val="a3"/>
      </w:pPr>
      <w:r>
        <w:t xml:space="preserve">　　【二八一、視卒如嬰兒，故可與之赴深谿；視卒如愛子，故可與之俱死。】</w:t>
      </w:r>
      <w:r>
        <w:t xml:space="preserve"> </w:t>
      </w:r>
    </w:p>
    <w:p w14:paraId="5CF3EAD8" w14:textId="77777777" w:rsidR="00C4621B" w:rsidRDefault="00C4621B">
      <w:pPr>
        <w:pStyle w:val="a3"/>
      </w:pPr>
      <w:r>
        <w:t xml:space="preserve">　　這一條出自於卷三十三，《孫子》。</w:t>
      </w:r>
      <w:r>
        <w:t xml:space="preserve"> </w:t>
      </w:r>
    </w:p>
    <w:p w14:paraId="14855163" w14:textId="77777777" w:rsidR="00C4621B" w:rsidRDefault="00C4621B">
      <w:pPr>
        <w:pStyle w:val="a3"/>
      </w:pPr>
      <w:r>
        <w:t xml:space="preserve">　　這一條就是講到將跟兵。帶兵的將軍，對待士兵就像對待嬰兒那樣的關懷照顧，那麼士兵就能夠與將帥共赴險境，共同抵禦敵人；「對待士兵就像對待心愛的兒子那樣盡心愛護」，那麼士兵就能夠與將帥生死與共，就是同生死共患難。這個帶兵也就是帶心，如果帶領的將軍、將帥能夠用這樣的心態來對待下屬、對待士兵，士兵當然就能夠跟將帥生死與共、共赴患難。一切都是人心，用什麼樣的心去對待下面的這些部屬、士兵，這是帶兵之道，將帥不能不知道這個道理。如果反過來講，對待士兵很無禮，甚至去虐待他們，那就會眾叛親離，心也就不能夠忠於這些將帥，這是必然的道理。所以這一條是講帶兵，實際上用在各行各業也是同樣一個道理，上面的主管對下屬愛護像兒女一樣，下屬當然對他的主管就會忠心耿耿來效力。</w:t>
      </w:r>
      <w:r>
        <w:t xml:space="preserve"> </w:t>
      </w:r>
    </w:p>
    <w:p w14:paraId="5990128A" w14:textId="77777777" w:rsidR="00C4621B" w:rsidRDefault="00C4621B">
      <w:pPr>
        <w:pStyle w:val="a3"/>
      </w:pPr>
      <w:r>
        <w:t xml:space="preserve">　　好，這一條我們就學習到這裡。祝大家福慧增長，法喜充滿。阿彌陀佛！　　</w:t>
      </w:r>
    </w:p>
    <w:sectPr w:rsidR="00C462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06DE" w14:textId="77777777" w:rsidR="00C4621B" w:rsidRDefault="00C4621B" w:rsidP="004951EF">
      <w:r>
        <w:separator/>
      </w:r>
    </w:p>
  </w:endnote>
  <w:endnote w:type="continuationSeparator" w:id="0">
    <w:p w14:paraId="36BC6C64" w14:textId="77777777" w:rsidR="00C4621B" w:rsidRDefault="00C4621B" w:rsidP="00495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45857" w14:textId="77777777" w:rsidR="00C4621B" w:rsidRDefault="00C4621B" w:rsidP="004951EF">
      <w:r>
        <w:separator/>
      </w:r>
    </w:p>
  </w:footnote>
  <w:footnote w:type="continuationSeparator" w:id="0">
    <w:p w14:paraId="6A119C8D" w14:textId="77777777" w:rsidR="00C4621B" w:rsidRDefault="00C4621B" w:rsidP="004951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EF"/>
    <w:rsid w:val="004951EF"/>
    <w:rsid w:val="007931EE"/>
    <w:rsid w:val="00C4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7CC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51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1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1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1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