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F107" w14:textId="77777777" w:rsidR="00792CEA" w:rsidRDefault="00792CEA">
      <w:r>
        <w:t>《群書治要３６Ｏ》第一冊</w:t>
      </w:r>
      <w:r>
        <w:t>—</w:t>
      </w:r>
      <w:r>
        <w:t xml:space="preserve">禍福相承　　悟道法師主講　　（第二八九集）　　</w:t>
      </w:r>
      <w:r>
        <w:t>2021/7/3</w:t>
      </w:r>
      <w:r>
        <w:t xml:space="preserve">　　華藏淨宗學會　　檔名：</w:t>
      </w:r>
      <w:r>
        <w:t xml:space="preserve">WD20-050-0289 </w:t>
      </w:r>
    </w:p>
    <w:p w14:paraId="2EA46C1E" w14:textId="77777777" w:rsidR="00792CEA" w:rsidRDefault="00792CEA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74D474D1" w14:textId="77777777" w:rsidR="00792CEA" w:rsidRDefault="00792CEA">
      <w:pPr>
        <w:pStyle w:val="a3"/>
      </w:pPr>
      <w:r>
        <w:t xml:space="preserve">　　【二八九、禍兮福之所倚，福兮禍之所伏，孰知其極？】</w:t>
      </w:r>
      <w:r>
        <w:t xml:space="preserve"> </w:t>
      </w:r>
    </w:p>
    <w:p w14:paraId="15925F6D" w14:textId="77777777" w:rsidR="00792CEA" w:rsidRDefault="00792CEA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2B63A8D9" w14:textId="77777777" w:rsidR="00792CEA" w:rsidRDefault="00792CEA">
      <w:pPr>
        <w:pStyle w:val="a3"/>
      </w:pPr>
      <w:r>
        <w:t xml:space="preserve">　　「災禍啊！福氣倚靠在旁」，『倚』是因，『福』因禍而生。人遭遇災禍而能夠「悔過責己，修善行道，則禍去福來」，所以說『禍兮福之所倚』，這叫轉禍為福。『福兮禍之所伏』，「福」是福氣、福報，災禍潛伏在福報當中，禍福相承，它是互相倚伏的。所以我們看禍福的字很相似，在福當中有禍，禍當中有福，禍福是互相倚伏的。『孰知其極？』禍福相生，誰知道其微妙變化？它的轉化很微妙的，這就是禍福都是在我們人要怎麼去轉變。也是提醒我們遇到一些災禍，如果人能夠「反躬自省，斷惡修善，則禍去福來」，這就是轉禍為福。如果人得到福報「卻驕奢淫逸，則福去禍來」，福報它就走了，接著來的就是災禍了。所以享福如果不知道繼續修福，用福報來造惡業，福報享盡，災禍就來臨，所以這就是禍福相承。</w:t>
      </w:r>
      <w:r>
        <w:t xml:space="preserve"> </w:t>
      </w:r>
    </w:p>
    <w:p w14:paraId="295154EA" w14:textId="77777777" w:rsidR="00792CEA" w:rsidRDefault="00792CEA">
      <w:pPr>
        <w:pStyle w:val="a3"/>
      </w:pPr>
      <w:r>
        <w:t xml:space="preserve">　　好，這一條我們就學習到這裡。祝大家福慧增長，法喜充滿。阿彌陀佛！　　</w:t>
      </w:r>
    </w:p>
    <w:sectPr w:rsidR="00792C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0F7D2" w14:textId="77777777" w:rsidR="00792CEA" w:rsidRDefault="00792CEA" w:rsidP="00EF5ADE">
      <w:r>
        <w:separator/>
      </w:r>
    </w:p>
  </w:endnote>
  <w:endnote w:type="continuationSeparator" w:id="0">
    <w:p w14:paraId="4255CD89" w14:textId="77777777" w:rsidR="00792CEA" w:rsidRDefault="00792CEA" w:rsidP="00EF5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78171" w14:textId="77777777" w:rsidR="00792CEA" w:rsidRDefault="00792CEA" w:rsidP="00EF5ADE">
      <w:r>
        <w:separator/>
      </w:r>
    </w:p>
  </w:footnote>
  <w:footnote w:type="continuationSeparator" w:id="0">
    <w:p w14:paraId="452D987E" w14:textId="77777777" w:rsidR="00792CEA" w:rsidRDefault="00792CEA" w:rsidP="00EF5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DE"/>
    <w:rsid w:val="00792CEA"/>
    <w:rsid w:val="007931EE"/>
    <w:rsid w:val="00EF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E53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A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A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A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A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