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BB19" w14:textId="77777777" w:rsidR="00063AD1" w:rsidRDefault="00063AD1">
      <w:r>
        <w:t>《群書治要３６Ｏ》第一冊</w:t>
      </w:r>
      <w:r>
        <w:t>—</w:t>
      </w:r>
      <w:r>
        <w:t xml:space="preserve">國家安定太平的氣象　　悟道法師主講　　（第二九七集）　　</w:t>
      </w:r>
      <w:r>
        <w:t>2021/7/11</w:t>
      </w:r>
      <w:r>
        <w:t xml:space="preserve">　　華藏淨宗學會　　檔名：</w:t>
      </w:r>
      <w:r>
        <w:t xml:space="preserve">WD20-050-0297 </w:t>
      </w:r>
    </w:p>
    <w:p w14:paraId="20E1B3AE" w14:textId="77777777" w:rsidR="00063AD1" w:rsidRDefault="00063AD1">
      <w:pPr>
        <w:pStyle w:val="a3"/>
      </w:pPr>
      <w:r>
        <w:t xml:space="preserve">　　諸位同學，大家好！我們繼續來學習《群書治要３６Ｏ》第一冊，第五單元「敬慎」，二、「風俗」。</w:t>
      </w:r>
      <w:r>
        <w:t xml:space="preserve"> </w:t>
      </w:r>
    </w:p>
    <w:p w14:paraId="0DB6EEF5" w14:textId="77777777" w:rsidR="00063AD1" w:rsidRDefault="00063AD1">
      <w:pPr>
        <w:pStyle w:val="a3"/>
      </w:pPr>
      <w:r>
        <w:t xml:space="preserve">　　【二九七、君臣親而有禮，百僚和而不同，讓而不爭，勤而不怨，無事唯職是司，此治國之風也。】</w:t>
      </w:r>
      <w:r>
        <w:t xml:space="preserve"> </w:t>
      </w:r>
    </w:p>
    <w:p w14:paraId="3DF9F130" w14:textId="77777777" w:rsidR="00063AD1" w:rsidRDefault="00063AD1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38A6A384" w14:textId="77777777" w:rsidR="00063AD1" w:rsidRDefault="00063AD1">
      <w:pPr>
        <w:pStyle w:val="a3"/>
      </w:pPr>
      <w:r>
        <w:t xml:space="preserve">　　這裡『百僚』就是講百官，我們一般講文武百官。『無事』是沒有變故，大多數指沒有戰事，沒有戰爭、災異，災難、變異這些事情，這就是「無事」，就是國家沒有這些變故、戰爭、災異、災難等等，無事的時候。這一條主要說，「君主和群臣」，君主（領導人）跟下面這些群臣，「親近並且遵守禮法」，守這個禮，有君臣之禮；「百官和睦而不隨便附和」。百官的和睦，『和而不同』，和睦但是有時候有些意見並不一定是一樣的，就是和睦但是不隨便的附和；就是說遇到國家政策如果有人提出來不是很正確的，不能隨便去附和、去同意，這當中就有不同的意見，但是基本上是和睦的，大家都是為國為民。所以百官和睦而不隨便附和，「互相謙讓而不爭名邀功」，互相謙讓，謙虛，不會互相謾罵、指責，不爭，不去爭名邀功，總是推功於人，過自己來承擔。「勤勞於國事而沒有怨言，沒有變故時，堅守自己的職事，這就是國家安定太平的氣象。」</w:t>
      </w:r>
      <w:r>
        <w:t xml:space="preserve"> </w:t>
      </w:r>
    </w:p>
    <w:p w14:paraId="6BDBDA10" w14:textId="77777777" w:rsidR="00063AD1" w:rsidRDefault="00063AD1">
      <w:pPr>
        <w:pStyle w:val="a3"/>
      </w:pPr>
      <w:r>
        <w:t xml:space="preserve">　　好，這一條我們就學習到這裡。祝大家福慧增長，法喜充滿。阿彌陀佛！　　</w:t>
      </w:r>
    </w:p>
    <w:sectPr w:rsidR="00063A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DCB1" w14:textId="77777777" w:rsidR="00063AD1" w:rsidRDefault="00063AD1" w:rsidP="00626E2A">
      <w:r>
        <w:separator/>
      </w:r>
    </w:p>
  </w:endnote>
  <w:endnote w:type="continuationSeparator" w:id="0">
    <w:p w14:paraId="653AF1AC" w14:textId="77777777" w:rsidR="00063AD1" w:rsidRDefault="00063AD1" w:rsidP="00626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87D0F" w14:textId="77777777" w:rsidR="00063AD1" w:rsidRDefault="00063AD1" w:rsidP="00626E2A">
      <w:r>
        <w:separator/>
      </w:r>
    </w:p>
  </w:footnote>
  <w:footnote w:type="continuationSeparator" w:id="0">
    <w:p w14:paraId="5B57735E" w14:textId="77777777" w:rsidR="00063AD1" w:rsidRDefault="00063AD1" w:rsidP="00626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2A"/>
    <w:rsid w:val="00063AD1"/>
    <w:rsid w:val="00626E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980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E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E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E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E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