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6AF3" w14:textId="77777777" w:rsidR="00CC76E4" w:rsidRDefault="00CC76E4">
      <w:r>
        <w:t>《群書治要３６Ｏ》第一冊</w:t>
      </w:r>
      <w:r>
        <w:t>—</w:t>
      </w:r>
      <w:r>
        <w:t xml:space="preserve">君子有三戒　　悟道法師主講　　（第三一四集）　　</w:t>
      </w:r>
      <w:r>
        <w:t>2021/7/28</w:t>
      </w:r>
      <w:r>
        <w:t xml:space="preserve">　　華藏淨宗學會　　檔名：</w:t>
      </w:r>
      <w:r>
        <w:t xml:space="preserve">WD20-050-0314 </w:t>
      </w:r>
    </w:p>
    <w:p w14:paraId="0733C0BA" w14:textId="77777777" w:rsidR="00CC76E4" w:rsidRDefault="00CC76E4">
      <w:pPr>
        <w:pStyle w:val="a3"/>
      </w:pPr>
      <w:r>
        <w:t xml:space="preserve">　　諸位同學，大家好！我們繼續來學習《群書治要３６Ｏ》第一冊，第五單元「敬慎」，四、「鑒戒」。</w:t>
      </w:r>
      <w:r>
        <w:t xml:space="preserve"> </w:t>
      </w:r>
    </w:p>
    <w:p w14:paraId="677547E1" w14:textId="77777777" w:rsidR="00CC76E4" w:rsidRDefault="00CC76E4">
      <w:pPr>
        <w:pStyle w:val="a3"/>
      </w:pPr>
      <w:r>
        <w:t xml:space="preserve">　　【三一四、孔子曰：「君子有三戒：少之時，血氣未定，戒之在色；及其壯也，血氣方剛，戒之在鬥；及其老也，血氣既衰，戒之在得。】</w:t>
      </w:r>
      <w:r>
        <w:t xml:space="preserve"> </w:t>
      </w:r>
    </w:p>
    <w:p w14:paraId="1953784E" w14:textId="77777777" w:rsidR="00CC76E4" w:rsidRDefault="00CC76E4">
      <w:pPr>
        <w:pStyle w:val="a3"/>
      </w:pPr>
      <w:r>
        <w:t xml:space="preserve">　　這一條出自於卷九，《論語》。</w:t>
      </w:r>
      <w:r>
        <w:t xml:space="preserve"> </w:t>
      </w:r>
    </w:p>
    <w:p w14:paraId="323AFB97" w14:textId="77777777" w:rsidR="00CC76E4" w:rsidRDefault="00CC76E4">
      <w:pPr>
        <w:pStyle w:val="a3"/>
      </w:pPr>
      <w:r>
        <w:t xml:space="preserve">　　『得』就是貪的意思，貪得的意思。「孔子說：君子有三件應該警惕戒備的事。」少年的時候，就是十一歲到二十歲的年紀是屬於少年，少年時期十幾歲還沒有成年，「血氣尚未穩定」，就是身體血氣還沒有穩定，還沒有成熟，一般男子是二十成年，女子十六成年，還沒有達到成年就是少年，這個時候血氣未定，還沒有穩定，「應該警戒，不要把精力放縱在色欲上」，如果年紀輕輕就好色，這個身體往後就不好了，這個好色在印光祖師特別提倡的《壽康寶鑒》，還有《安士全書．欲海回狂》，書裡面都把好色這樁事利害關係說明得很詳細，大家可以去看，特別是年少的時候，這時候做父母的人就要開導。《壽康寶鑒》、「欲海回狂」這些書，也就是我們現代人講的性的教育，教人怎麼樣謹慎，不能縱欲。如果年紀輕輕就縱欲，將來就不能有什麼成就，而且會把身體搞壞，特別做父母、老師的人不能不警戒提醒兒女、學生。</w:t>
      </w:r>
      <w:r>
        <w:t xml:space="preserve"> </w:t>
      </w:r>
    </w:p>
    <w:p w14:paraId="1BD28CA0" w14:textId="77777777" w:rsidR="00CC76E4" w:rsidRDefault="00CC76E4">
      <w:pPr>
        <w:pStyle w:val="a3"/>
      </w:pPr>
      <w:r>
        <w:t xml:space="preserve">　　現在這是開放的一個社會，所以年紀輕輕的男女在還沒有成年，讀國中、高中就有發生性關係。所以現在國中生、高中生墮胎的愈來愈多，不但損害身體也傷道德。墮胎是殺自己的兒女，這從淫欲來的、從色欲上來的，男女雙方的罪過都很重。所以夫子第一條提醒少年要『戒之在色』，特別在這個地方要戒，當然也不是說只有少年要戒，中年也是要戒了，因為年紀愈大體力愈差，所以你把這個精力消耗掉在色欲上，事業也很難成就，精神不濟，這一條特別重要。特別在現在這個社會上，現在社會到處是誘惑，不但年少的人受不了誘惑，就是中晚年的人都很難避免，所以第一條要戒的。</w:t>
      </w:r>
      <w:r>
        <w:t xml:space="preserve"> </w:t>
      </w:r>
    </w:p>
    <w:p w14:paraId="77699583" w14:textId="77777777" w:rsidR="00CC76E4" w:rsidRDefault="00CC76E4">
      <w:pPr>
        <w:pStyle w:val="a3"/>
      </w:pPr>
      <w:r>
        <w:t xml:space="preserve">　　到壯年的時候，「血氣正旺盛」，要警戒的就是「不要爭強鬥勝」。壯年是三十到四十歲，二十到三十歲這當中是青年，三十到四十身體是最強壯的時候，三十到四十這時候血氣方剛『戒之在鬥』，這時候最怕爭強鬥勝，跟人家鬥、打架等等的，就不要去把體力精神用在爭強鬥勝，到最後是兩敗俱傷。「而應以此飽滿的體力精神用於正當的事業」，好好發展自己的事業這才是正確的，所以年之壯時這是要應該戒慎的，不要跟人家鬥。到了老年的時候，六十歲以後就是老年，我們一般講四十到五十中年，五十到六十叫中晚年，六十到七十就算晚年。在古時候六十歲在《禮記》講就可以拿枴杖（但是也可以不拿），六十歲就稱為老夫了，六十以後已經體力衰退，實際上是五十歲就開始衰了，到六十已經是中衰，到七十在《禮記》講老，老就是這時候體力大衰，在老年六十以後。過去我們淨老和尚也引用台中李老師講的，歐陽修講人生分為四季：一歲到二十歲是春天，二十一到四十歲是人生的夏天，四十一歲到六十歲是人生的秋天，六十一歲到八十歲是人生的冬天所以這個時候老年『戒之在得』。「不要貪得無厭」，就是要放下，什麼都要放下。在《禮記》講七十就要傳</w:t>
      </w:r>
      <w:r>
        <w:lastRenderedPageBreak/>
        <w:t>了，你要把你的事業、你的家業，在佛門裡面道場也要交給下一代了，都不能自己抓在手裡。因為人七十以後，人生七十古來稀，進入冬天了，什麼時候走不知道。所以『戒之在得』，要放下，不能不放下。</w:t>
      </w:r>
      <w:r>
        <w:t xml:space="preserve"> </w:t>
      </w:r>
    </w:p>
    <w:p w14:paraId="2899B60E" w14:textId="77777777" w:rsidR="00CC76E4" w:rsidRDefault="00CC76E4">
      <w:pPr>
        <w:pStyle w:val="a3"/>
      </w:pPr>
      <w:r>
        <w:t xml:space="preserve">　　好，這一條我們就學習到這裡。祝大家福慧增長，法喜充滿。阿彌陀佛！　　</w:t>
      </w:r>
    </w:p>
    <w:sectPr w:rsidR="00CC76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8B742" w14:textId="77777777" w:rsidR="00CC76E4" w:rsidRDefault="00CC76E4" w:rsidP="004E4D75">
      <w:r>
        <w:separator/>
      </w:r>
    </w:p>
  </w:endnote>
  <w:endnote w:type="continuationSeparator" w:id="0">
    <w:p w14:paraId="31ECCB7D" w14:textId="77777777" w:rsidR="00CC76E4" w:rsidRDefault="00CC76E4" w:rsidP="004E4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45E32" w14:textId="77777777" w:rsidR="00CC76E4" w:rsidRDefault="00CC76E4" w:rsidP="004E4D75">
      <w:r>
        <w:separator/>
      </w:r>
    </w:p>
  </w:footnote>
  <w:footnote w:type="continuationSeparator" w:id="0">
    <w:p w14:paraId="35EE96B9" w14:textId="77777777" w:rsidR="00CC76E4" w:rsidRDefault="00CC76E4" w:rsidP="004E4D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75"/>
    <w:rsid w:val="004E4D75"/>
    <w:rsid w:val="007931EE"/>
    <w:rsid w:val="00CC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BF0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4D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4D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4D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4D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