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FF1F" w14:textId="77777777" w:rsidR="003C2B00" w:rsidRDefault="003C2B00">
      <w:r>
        <w:t>《群書治要３６Ｏ》第一冊</w:t>
      </w:r>
      <w:r>
        <w:t>—</w:t>
      </w:r>
      <w:r>
        <w:t xml:space="preserve">善不掩惡　　悟道法師主講　　（第三一五集）　　</w:t>
      </w:r>
      <w:r>
        <w:t>2021/7/29</w:t>
      </w:r>
      <w:r>
        <w:t xml:space="preserve">　　華藏淨宗學會　　檔名：</w:t>
      </w:r>
      <w:r>
        <w:t xml:space="preserve">WD20-050-0315 </w:t>
      </w:r>
    </w:p>
    <w:p w14:paraId="77AE1A74" w14:textId="77777777" w:rsidR="003C2B00" w:rsidRDefault="003C2B00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6D39DE4E" w14:textId="77777777" w:rsidR="003C2B00" w:rsidRDefault="003C2B00">
      <w:pPr>
        <w:pStyle w:val="a3"/>
      </w:pPr>
      <w:r>
        <w:t xml:space="preserve">　　【三一五、古人闔棺之日，然後誄行，不以前善沒後惡也。】</w:t>
      </w:r>
      <w:r>
        <w:t xml:space="preserve"> </w:t>
      </w:r>
    </w:p>
    <w:p w14:paraId="60125470" w14:textId="77777777" w:rsidR="003C2B00" w:rsidRDefault="003C2B00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3A3E4180" w14:textId="77777777" w:rsidR="003C2B00" w:rsidRDefault="003C2B00">
      <w:pPr>
        <w:pStyle w:val="a3"/>
      </w:pPr>
      <w:r>
        <w:t xml:space="preserve">　　『誄』，這個音是「壘」，堡壘的壘，是「哀祭文的一種」，我們一般講人過世念的祭文，是敘述死者生前的德行、功業的一種文體。『沒』就是掩蓋的意思。『古人闔棺之日』，「古人蓋棺之後」，人過世了，我們一般講蓋棺論定，「再來寫誄文哀悼」，就是寫祭文來哀悼，來論定他一生的品行，他的品德、行為，誄文就是屬於這種文章，論定品行，一般講蓋棺論定。「不用以前的善行掩蓋後來的過惡」，這個就是我們一般講善歸善、惡歸惡。他以前做過某一些善行，後來又造一些過惡，不用善行來掩蓋後來造的過惡。在佛法因果來講，善有善報、惡有惡報，善惡它是不能互相代替，善就是善、惡就是惡，所以說善有善報、惡有惡報。祭文也是敘述他以前有什麼善行，不會用來掩蓋他後面的過惡，也是一種告知世人善惡分明，善有善報、惡有惡報，善惡分明，所以這一類的祭文就是這種性質。</w:t>
      </w:r>
      <w:r>
        <w:t xml:space="preserve"> </w:t>
      </w:r>
    </w:p>
    <w:p w14:paraId="0163AC29" w14:textId="77777777" w:rsidR="003C2B00" w:rsidRDefault="003C2B00">
      <w:pPr>
        <w:pStyle w:val="a3"/>
      </w:pPr>
      <w:r>
        <w:t xml:space="preserve">　　好，這一條我們就學習到這裡。祝大家福慧增長，法喜充滿。阿彌陀佛！　　</w:t>
      </w:r>
    </w:p>
    <w:sectPr w:rsidR="003C2B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88000" w14:textId="77777777" w:rsidR="003C2B00" w:rsidRDefault="003C2B00" w:rsidP="00A56836">
      <w:r>
        <w:separator/>
      </w:r>
    </w:p>
  </w:endnote>
  <w:endnote w:type="continuationSeparator" w:id="0">
    <w:p w14:paraId="1BAFA665" w14:textId="77777777" w:rsidR="003C2B00" w:rsidRDefault="003C2B00" w:rsidP="00A5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2953F" w14:textId="77777777" w:rsidR="003C2B00" w:rsidRDefault="003C2B00" w:rsidP="00A56836">
      <w:r>
        <w:separator/>
      </w:r>
    </w:p>
  </w:footnote>
  <w:footnote w:type="continuationSeparator" w:id="0">
    <w:p w14:paraId="77C57FAF" w14:textId="77777777" w:rsidR="003C2B00" w:rsidRDefault="003C2B00" w:rsidP="00A56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36"/>
    <w:rsid w:val="003C2B00"/>
    <w:rsid w:val="007931EE"/>
    <w:rsid w:val="00A5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B8F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