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FA429" w14:textId="77777777" w:rsidR="007B045E" w:rsidRDefault="007B045E">
      <w:r>
        <w:t>《群書治要３６Ｏ》第二冊</w:t>
      </w:r>
      <w:r>
        <w:t>—</w:t>
      </w:r>
      <w:r>
        <w:t xml:space="preserve">君明則臣直　　悟道法師主講　　（第五十一集）　　</w:t>
      </w:r>
      <w:r>
        <w:t>2021/11/2</w:t>
      </w:r>
      <w:r>
        <w:t xml:space="preserve">　　華藏淨宗學會　　檔名：</w:t>
      </w:r>
      <w:r>
        <w:t xml:space="preserve">WD20-054-0051 </w:t>
      </w:r>
    </w:p>
    <w:p w14:paraId="1F69B9C6" w14:textId="77777777" w:rsidR="007B045E" w:rsidRDefault="007B045E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3608A497" w14:textId="77777777" w:rsidR="007B045E" w:rsidRDefault="007B045E">
      <w:pPr>
        <w:pStyle w:val="a3"/>
      </w:pPr>
      <w:r>
        <w:t xml:space="preserve">　　【五十一、君明則臣直。古之聖王，恐不聞其過，故有敢諫之鼓。】</w:t>
      </w:r>
      <w:r>
        <w:t xml:space="preserve"> </w:t>
      </w:r>
    </w:p>
    <w:p w14:paraId="049F0F86" w14:textId="77777777" w:rsidR="007B045E" w:rsidRDefault="007B045E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652332E9" w14:textId="77777777" w:rsidR="007B045E" w:rsidRDefault="007B045E">
      <w:pPr>
        <w:pStyle w:val="a3"/>
      </w:pPr>
      <w:r>
        <w:t xml:space="preserve">　　『敢諫之鼓』，就是設於朝廷供進諫者敲擊的鼓。這一條講聖明的君主，他的臣下就正直。「古代聖明的君王唯恐聽不到自己的過錯」，怕自己的過錯自己不知道，因此設立了讓進諫者敲擊的鼓，以便領導者知曉有人敲鼓，就是要來進諫了，要有建議，知道自己的施政哪個地方有錯誤。所以特別設了這個鼓，這是賢明君主的一個做法，就是讓下面的人他們盡量的提出建議，讓自己知道有一些錯誤的政策在哪裡，治理哪些地方是錯了、做得不好，才知道去改正。君是一個領導，所以大一個國家，小一個團體、一個家庭的領導也是一樣，像一個家庭，父親他就是君。所以，家有嚴君，就是父親。所以君，這是每個階層的團體領導都是君，領導就有下面的人。</w:t>
      </w:r>
      <w:r>
        <w:t xml:space="preserve"> </w:t>
      </w:r>
    </w:p>
    <w:p w14:paraId="12650D6F" w14:textId="77777777" w:rsidR="007B045E" w:rsidRDefault="007B045E">
      <w:pPr>
        <w:pStyle w:val="a3"/>
      </w:pPr>
      <w:r>
        <w:t xml:space="preserve">　　好，這一條我們就學習到這裡。祝大家福慧增長，法喜充滿。阿彌陀佛！　　</w:t>
      </w:r>
    </w:p>
    <w:sectPr w:rsidR="007B04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1BC92" w14:textId="77777777" w:rsidR="007B045E" w:rsidRDefault="007B045E" w:rsidP="00BC1A48">
      <w:r>
        <w:separator/>
      </w:r>
    </w:p>
  </w:endnote>
  <w:endnote w:type="continuationSeparator" w:id="0">
    <w:p w14:paraId="2E030619" w14:textId="77777777" w:rsidR="007B045E" w:rsidRDefault="007B045E" w:rsidP="00BC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972C6" w14:textId="77777777" w:rsidR="007B045E" w:rsidRDefault="007B045E" w:rsidP="00BC1A48">
      <w:r>
        <w:separator/>
      </w:r>
    </w:p>
  </w:footnote>
  <w:footnote w:type="continuationSeparator" w:id="0">
    <w:p w14:paraId="6BCBCDFD" w14:textId="77777777" w:rsidR="007B045E" w:rsidRDefault="007B045E" w:rsidP="00BC1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48"/>
    <w:rsid w:val="007931EE"/>
    <w:rsid w:val="007B045E"/>
    <w:rsid w:val="00BC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B9A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