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BE6B" w14:textId="77777777" w:rsidR="005238AA" w:rsidRDefault="005238AA">
      <w:r>
        <w:t>《群書治要３６Ｏ》第二冊</w:t>
      </w:r>
      <w:r>
        <w:t>—</w:t>
      </w:r>
      <w:r>
        <w:t xml:space="preserve">識善察言　　悟道法師主講　　（第六十四集）　　</w:t>
      </w:r>
      <w:r>
        <w:t>2021/11/15</w:t>
      </w:r>
      <w:r>
        <w:t xml:space="preserve">　　華藏淨宗學會　　檔名：</w:t>
      </w:r>
      <w:r>
        <w:t xml:space="preserve">WD20-054-0064 </w:t>
      </w:r>
    </w:p>
    <w:p w14:paraId="1B6FE21E" w14:textId="77777777" w:rsidR="005238AA" w:rsidRDefault="005238AA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2E426B2C" w14:textId="77777777" w:rsidR="005238AA" w:rsidRDefault="005238AA">
      <w:pPr>
        <w:pStyle w:val="a3"/>
      </w:pPr>
      <w:r>
        <w:t xml:space="preserve">　　【六十四、夫讒人似實，巧言如簧，使聽之者惑，視之者昏。夫吉凶之效，在乎識善；成敗之機，在於察言。】</w:t>
      </w:r>
      <w:r>
        <w:t xml:space="preserve"> </w:t>
      </w:r>
    </w:p>
    <w:p w14:paraId="45163B65" w14:textId="77777777" w:rsidR="005238AA" w:rsidRDefault="005238AA">
      <w:pPr>
        <w:pStyle w:val="a3"/>
      </w:pPr>
      <w:r>
        <w:t xml:space="preserve">　　這一條出自於卷二十四，《後漢書（四）》。</w:t>
      </w:r>
      <w:r>
        <w:t xml:space="preserve"> </w:t>
      </w:r>
    </w:p>
    <w:p w14:paraId="00F16551" w14:textId="77777777" w:rsidR="005238AA" w:rsidRDefault="005238AA">
      <w:pPr>
        <w:pStyle w:val="a3"/>
      </w:pPr>
      <w:r>
        <w:t xml:space="preserve">　　『巧言如簧』，「簧」是形容人的言辭巧妙動聽，猶如笙中之簧，這些樂器振動發出的那種美妙的音聲。這一條講「讒奸之人看似誠實」，就是讒媚奸佞之人看起來好像他很誠實；「花言巧語好像笙簧」，他很會講話，講得聽起來很有道理；「讓聽到的人迷惑，讓看到的人昏聵」，就是被他所蒙蔽了。「吉和凶的效驗」，我們遇到這些讒奸之人、奸佞之人，是吉還是凶，這個效驗「在於有能力認識何者是善；成或敗的關鍵，在於能夠詳審何者論述正確」。這就是吉凶的一個關鍵，就是在於自己有沒有能力去認識這些話是善還是不善的，有的人他講的道理聽起來似是而非。所以成敗的關鍵在於聽的人能夠去詳細審斷「何者論述正確」，論述他講的這些話，哪些是正確的，哪些是不正確的。這一條主要是講，奸佞之人看起來好像很誠實，講話讓人家迷惑顛倒，誤導人，所以要慎重的判斷他講這個話有沒有道理。所以聽話最怕聽到那些似是而非的，聽信了那就招致凶災了。聽這些言論，我們一定要很審慎去判斷，才不至於被誤導。</w:t>
      </w:r>
      <w:r>
        <w:t xml:space="preserve"> </w:t>
      </w:r>
    </w:p>
    <w:p w14:paraId="47C87CD0" w14:textId="77777777" w:rsidR="005238AA" w:rsidRDefault="005238AA">
      <w:pPr>
        <w:pStyle w:val="a3"/>
      </w:pPr>
      <w:r>
        <w:t xml:space="preserve">　　好，這一條我們就學習到這裡。祝大家福慧增長，法喜充滿。阿彌陀佛！　　</w:t>
      </w:r>
    </w:p>
    <w:sectPr w:rsidR="005238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EC728" w14:textId="77777777" w:rsidR="005238AA" w:rsidRDefault="005238AA" w:rsidP="00ED50BF">
      <w:r>
        <w:separator/>
      </w:r>
    </w:p>
  </w:endnote>
  <w:endnote w:type="continuationSeparator" w:id="0">
    <w:p w14:paraId="458F1C43" w14:textId="77777777" w:rsidR="005238AA" w:rsidRDefault="005238AA" w:rsidP="00ED5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B8AD" w14:textId="77777777" w:rsidR="005238AA" w:rsidRDefault="005238AA" w:rsidP="00ED50BF">
      <w:r>
        <w:separator/>
      </w:r>
    </w:p>
  </w:footnote>
  <w:footnote w:type="continuationSeparator" w:id="0">
    <w:p w14:paraId="23EBB37D" w14:textId="77777777" w:rsidR="005238AA" w:rsidRDefault="005238AA" w:rsidP="00ED5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BF"/>
    <w:rsid w:val="005238AA"/>
    <w:rsid w:val="007931EE"/>
    <w:rsid w:val="00E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427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