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491B" w14:textId="77777777" w:rsidR="00631476" w:rsidRDefault="00631476">
      <w:r>
        <w:t>《群書治要３６Ｏ》第二冊</w:t>
      </w:r>
      <w:r>
        <w:t>—</w:t>
      </w:r>
      <w:r>
        <w:t xml:space="preserve">信賢而不移　　悟道法師主講　　（第二Ｏ六集）　　</w:t>
      </w:r>
      <w:r>
        <w:t>2022/4/6</w:t>
      </w:r>
      <w:r>
        <w:t xml:space="preserve">　　華藏淨宗學會　　檔名：</w:t>
      </w:r>
      <w:r>
        <w:t xml:space="preserve">WD20-054-0206 </w:t>
      </w:r>
    </w:p>
    <w:p w14:paraId="70506E51" w14:textId="77777777" w:rsidR="00631476" w:rsidRDefault="00631476">
      <w:pPr>
        <w:pStyle w:val="a3"/>
      </w:pPr>
      <w:r>
        <w:t xml:space="preserve">　　諸位同學，大家好！我們繼續來學習《群書治要３６Ｏ》第二冊，第四單元「為政」，三、「任使」。</w:t>
      </w:r>
      <w:r>
        <w:t xml:space="preserve"> </w:t>
      </w:r>
    </w:p>
    <w:p w14:paraId="58A50DA3" w14:textId="77777777" w:rsidR="00631476" w:rsidRDefault="00631476">
      <w:pPr>
        <w:pStyle w:val="a3"/>
      </w:pPr>
      <w:r>
        <w:t xml:space="preserve">　　【二Ｏ六、治亂榮辱之端，在所信任。所信任既賢，在於堅固而不移。】</w:t>
      </w:r>
      <w:r>
        <w:t xml:space="preserve"> </w:t>
      </w:r>
    </w:p>
    <w:p w14:paraId="4F091BED" w14:textId="77777777" w:rsidR="00631476" w:rsidRDefault="00631476">
      <w:pPr>
        <w:pStyle w:val="a3"/>
      </w:pPr>
      <w:r>
        <w:t xml:space="preserve">　　這一條出自於卷十五，《漢書（三）》。</w:t>
      </w:r>
      <w:r>
        <w:t xml:space="preserve"> </w:t>
      </w:r>
    </w:p>
    <w:p w14:paraId="2B813AA6" w14:textId="77777777" w:rsidR="00631476" w:rsidRDefault="00631476">
      <w:pPr>
        <w:pStyle w:val="a3"/>
      </w:pPr>
      <w:r>
        <w:t xml:space="preserve">　　「安定與動亂」，『治』就是安定，國家治理得好，安定；『亂』，國家治理得不好，動亂不安。「安定與動亂、榮譽與恥辱的發端」，就在於君主（領導人）所相信並任用的人。「所信任的人已經是賢才了，那就要堅信他而不動搖。」就是說用人不疑、疑人不用，就是他已經是賢才了，就不要去懷疑他，要相信他、要信任他，這個賢才他能夠專心的為國家來辦事。所以不能懷疑，已經是賢才，就不能懷疑他，就要相信他。這是治亂榮辱的一個發端，就是在信任；信任的人是賢能的人，就要堅固不要懷疑。</w:t>
      </w:r>
      <w:r>
        <w:t xml:space="preserve"> </w:t>
      </w:r>
    </w:p>
    <w:p w14:paraId="17B3CD32" w14:textId="77777777" w:rsidR="00631476" w:rsidRDefault="00631476">
      <w:pPr>
        <w:pStyle w:val="a3"/>
      </w:pPr>
      <w:r>
        <w:t xml:space="preserve">　　好，這一條我們就學習到這裡。祝大家福慧增長，法喜充滿。阿彌陀佛！　　</w:t>
      </w:r>
    </w:p>
    <w:sectPr w:rsidR="006314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F1E60" w14:textId="77777777" w:rsidR="00631476" w:rsidRDefault="00631476" w:rsidP="00F90B37">
      <w:r>
        <w:separator/>
      </w:r>
    </w:p>
  </w:endnote>
  <w:endnote w:type="continuationSeparator" w:id="0">
    <w:p w14:paraId="007403ED" w14:textId="77777777" w:rsidR="00631476" w:rsidRDefault="00631476" w:rsidP="00F90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E1905" w14:textId="77777777" w:rsidR="00631476" w:rsidRDefault="00631476" w:rsidP="00F90B37">
      <w:r>
        <w:separator/>
      </w:r>
    </w:p>
  </w:footnote>
  <w:footnote w:type="continuationSeparator" w:id="0">
    <w:p w14:paraId="6734230E" w14:textId="77777777" w:rsidR="00631476" w:rsidRDefault="00631476" w:rsidP="00F90B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37"/>
    <w:rsid w:val="00631476"/>
    <w:rsid w:val="007931EE"/>
    <w:rsid w:val="00F9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6F04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0B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0B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0B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0B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