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540D" w14:textId="77777777" w:rsidR="00404AF5" w:rsidRDefault="00404AF5">
      <w:r>
        <w:t>《群書治要３６Ｏ》第二冊</w:t>
      </w:r>
      <w:r>
        <w:t>—</w:t>
      </w:r>
      <w:r>
        <w:t xml:space="preserve">刑政相參　　悟道法師主講　　（第二三一集）　　</w:t>
      </w:r>
      <w:r>
        <w:t>2022/5/1</w:t>
      </w:r>
      <w:r>
        <w:t xml:space="preserve">　　華藏淨宗學會　　檔名：</w:t>
      </w:r>
      <w:r>
        <w:t xml:space="preserve">WD20-054-0231 </w:t>
      </w:r>
    </w:p>
    <w:p w14:paraId="6B3D707B" w14:textId="77777777" w:rsidR="00404AF5" w:rsidRDefault="00404AF5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2F10FEE5" w14:textId="77777777" w:rsidR="00404AF5" w:rsidRDefault="00404AF5">
      <w:pPr>
        <w:pStyle w:val="a3"/>
      </w:pPr>
      <w:r>
        <w:t xml:space="preserve">　　【二三一、孔子曰：「聖人之治化也，必刑政相參焉。太上以德教民，而以禮齊之。其次以政導民，以刑禁之。化之弗變，導之弗從，傷義敗俗，於是乎用刑矣。」】</w:t>
      </w:r>
      <w:r>
        <w:t xml:space="preserve"> </w:t>
      </w:r>
    </w:p>
    <w:p w14:paraId="3A0F535C" w14:textId="77777777" w:rsidR="00404AF5" w:rsidRDefault="00404AF5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78FDC4CA" w14:textId="77777777" w:rsidR="00404AF5" w:rsidRDefault="00404AF5">
      <w:pPr>
        <w:pStyle w:val="a3"/>
      </w:pPr>
      <w:r>
        <w:t xml:space="preserve">　　孔子說了，聖人辦政治就是以教化為優先，必須『刑政相參』。教化民眾，一定是刑罰跟政令互相配合使用。「最好的辦法是用道德來教化民眾」，讓民眾明理（明白倫理道德），「並用禮法加以約束」。《論語》所謂的導之以德，齊之以禮，就是用倫理道德來教導人民，用禮節來規範約束人民的行為。如果沒有按照這個禮，社會會批評，人民會感覺到有羞恥。「其次是用政令引導民眾，並用刑罰加以禁止。」「如果教育之後還不能改變」，有教他了，不斷的勸導、引導，人民還不聽從，還是犯法，「以至於違背道義而敗壞風俗」，我們現在講的作奸犯科，「在這種情況下才用刑罰來懲處」，在這種情況之下，才動用這種刑罰，也就是法律、判刑。這就是要先教化，教化不聽，他不能接受，最後才動用刑罰。這是在《孔子家語》講到這一條，刑罰它是備用的。如果教化成功，刑罰是備而不用，只有預備。最好就是民眾能夠接受教化，國家也有真正在辦教育，這個是辦政治最主要，要最優先的，所謂「建國君民，教學為先」。</w:t>
      </w:r>
      <w:r>
        <w:t xml:space="preserve"> </w:t>
      </w:r>
    </w:p>
    <w:p w14:paraId="3A736774" w14:textId="77777777" w:rsidR="00404AF5" w:rsidRDefault="00404AF5">
      <w:pPr>
        <w:pStyle w:val="a3"/>
      </w:pPr>
      <w:r>
        <w:t xml:space="preserve">　　好，這一條我們就學習到這裡。祝大家福慧增長，法喜充滿。阿彌陀佛！　　</w:t>
      </w:r>
    </w:p>
    <w:sectPr w:rsidR="00404A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2779" w14:textId="77777777" w:rsidR="00404AF5" w:rsidRDefault="00404AF5" w:rsidP="00937A1F">
      <w:r>
        <w:separator/>
      </w:r>
    </w:p>
  </w:endnote>
  <w:endnote w:type="continuationSeparator" w:id="0">
    <w:p w14:paraId="0AE22676" w14:textId="77777777" w:rsidR="00404AF5" w:rsidRDefault="00404AF5" w:rsidP="0093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825B" w14:textId="77777777" w:rsidR="00404AF5" w:rsidRDefault="00404AF5" w:rsidP="00937A1F">
      <w:r>
        <w:separator/>
      </w:r>
    </w:p>
  </w:footnote>
  <w:footnote w:type="continuationSeparator" w:id="0">
    <w:p w14:paraId="650EE2A0" w14:textId="77777777" w:rsidR="00404AF5" w:rsidRDefault="00404AF5" w:rsidP="00937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1F"/>
    <w:rsid w:val="00404AF5"/>
    <w:rsid w:val="007931EE"/>
    <w:rsid w:val="0093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315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