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9B27" w14:textId="77777777" w:rsidR="00350DA2" w:rsidRDefault="00350DA2">
      <w:r>
        <w:t>《群書治要３６Ｏ》第二冊</w:t>
      </w:r>
      <w:r>
        <w:t>—</w:t>
      </w:r>
      <w:r>
        <w:t xml:space="preserve">禮樂不可斯須去身　　悟道法師主講　　（第二四七集）　　</w:t>
      </w:r>
      <w:r>
        <w:t>2022/5/17</w:t>
      </w:r>
      <w:r>
        <w:t xml:space="preserve">　　華藏淨宗學會　　檔名：</w:t>
      </w:r>
      <w:r>
        <w:t xml:space="preserve">WD20-054-0247 </w:t>
      </w:r>
    </w:p>
    <w:p w14:paraId="007C0728" w14:textId="77777777" w:rsidR="00350DA2" w:rsidRDefault="00350DA2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312B30CB" w14:textId="77777777" w:rsidR="00350DA2" w:rsidRDefault="00350DA2">
      <w:pPr>
        <w:pStyle w:val="a3"/>
      </w:pPr>
      <w:r>
        <w:t xml:space="preserve">　　【二四七、君子曰：「禮樂不可斯須去身。致樂以治心，致禮以治躬。心中斯須不和不樂，而鄙詐之心入之矣。外貌斯須不莊不敬，而慢易之心入之矣。故樂也者動於內者也，禮也者動於外者也。樂極則和，禮極則順。內和而外順，則民瞻其顏色，而不與爭也；望其容貌，而民不生易慢焉。」】</w:t>
      </w:r>
      <w:r>
        <w:t xml:space="preserve"> </w:t>
      </w:r>
    </w:p>
    <w:p w14:paraId="60FBBC7A" w14:textId="77777777" w:rsidR="00350DA2" w:rsidRDefault="00350DA2">
      <w:pPr>
        <w:pStyle w:val="a3"/>
      </w:pPr>
      <w:r>
        <w:t xml:space="preserve">　　這一條出自於卷七，《禮記》。</w:t>
      </w:r>
      <w:r>
        <w:t xml:space="preserve"> </w:t>
      </w:r>
    </w:p>
    <w:p w14:paraId="347A8CC5" w14:textId="77777777" w:rsidR="00350DA2" w:rsidRDefault="00350DA2">
      <w:pPr>
        <w:pStyle w:val="a3"/>
      </w:pPr>
      <w:r>
        <w:t xml:space="preserve">　　『斯須』，兩個字是片刻、須臾的意思。『致』，就是深遠詳審。『治躬』，就是治身，調整自己身體與言行。『慢易』，這兩個字是輕忽怠慢的意思。『樂極則和，禮極則順』，這是出自於《禮記》講的。</w:t>
      </w:r>
      <w:r>
        <w:t xml:space="preserve"> </w:t>
      </w:r>
    </w:p>
    <w:p w14:paraId="5C7727B3" w14:textId="77777777" w:rsidR="00350DA2" w:rsidRDefault="00350DA2">
      <w:pPr>
        <w:pStyle w:val="a3"/>
      </w:pPr>
      <w:r>
        <w:t xml:space="preserve">　　「君子說：人不可片刻離開禮樂。深入於樂，是為了陶冶心性」，這個樂就是好的音樂。「深入於禮，是為了調整身體與言行」，禮就是我們外面身體的動作以及講話。「一個人的心中如果有片刻不和順不喜樂，那貪鄙詐偽的念頭就會趁機而入。」心不和不樂，貪詐虛偽的念頭就會進來，這些邪念就生起來，這講內心。「外貌如果有片刻不莊重不恭敬，那輕忽怠慢的念頭就會趁虛而入。」這是外表，如果一下子不莊重、不恭敬，輕忽怠慢這個念頭也就會趁虛而入，就會生起來。「所以樂是調理人的內心」，調整我們的心，調心，「禮是調理人外在的行為」，禮是在外面。「音樂至善能使人和暢」，所以音樂要講求，音樂是要讓人心和暢的，心能夠和平暢快。不是現在那種西洋搖滾樂，那種靡靡之音，那個樂是會讓人墮落的，讓人心智墮落的，特別一些靡靡之音，讓人生起邪思，那是不好的音樂。這個音樂，像中國的古琴這種樂，就能讓人心和暢，所以樂要講求的。所以古代有《禮記》、有《樂記》，這個當中依照古聖先王他們制定的樂、禮做一個標準。「禮儀至善能使人恭順」，外面這些禮節能夠使人恭敬。「內心和暢而外貌恭順，則人們望見他的外貌神情，就不會與他抗爭」，這也就是說有攝受力。人的修養，外面有禮貌，對人恭敬，別</w:t>
      </w:r>
      <w:r>
        <w:t>人看見他這樣的一個神情態度，就不會與他抗爭，也自然會對他升起恭順之心。「看見他的儀容風度，便不會有輕視侮慢的態度」，因為他對人恭敬，別人對他也恭敬，這是必然的一個道理。所以這一節是「禮樂」，這非常重要，古代聖人制禮作樂，以禮樂來治天下，從自己內心治起，內心用樂來治，外面用禮來調整，有了禮樂，天下就大治，就不用刑罰了。</w:t>
      </w:r>
      <w:r>
        <w:t xml:space="preserve"> </w:t>
      </w:r>
    </w:p>
    <w:p w14:paraId="623AD877" w14:textId="77777777" w:rsidR="00350DA2" w:rsidRDefault="00350DA2">
      <w:pPr>
        <w:pStyle w:val="a3"/>
      </w:pPr>
      <w:r>
        <w:t xml:space="preserve">　　好，這一條我們就學習到這裡。祝大家福慧增長，法喜充滿。阿彌陀佛！　　</w:t>
      </w:r>
    </w:p>
    <w:sectPr w:rsidR="00350D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17333" w14:textId="77777777" w:rsidR="00350DA2" w:rsidRDefault="00350DA2" w:rsidP="00B732F3">
      <w:r>
        <w:separator/>
      </w:r>
    </w:p>
  </w:endnote>
  <w:endnote w:type="continuationSeparator" w:id="0">
    <w:p w14:paraId="15AF9A73" w14:textId="77777777" w:rsidR="00350DA2" w:rsidRDefault="00350DA2" w:rsidP="00B7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EF54" w14:textId="77777777" w:rsidR="00350DA2" w:rsidRDefault="00350DA2" w:rsidP="00B732F3">
      <w:r>
        <w:separator/>
      </w:r>
    </w:p>
  </w:footnote>
  <w:footnote w:type="continuationSeparator" w:id="0">
    <w:p w14:paraId="66AF40CF" w14:textId="77777777" w:rsidR="00350DA2" w:rsidRDefault="00350DA2" w:rsidP="00B73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F3"/>
    <w:rsid w:val="00350DA2"/>
    <w:rsid w:val="007931EE"/>
    <w:rsid w:val="00B7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4B0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2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2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2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2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