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20A7" w14:textId="77777777" w:rsidR="00547C88" w:rsidRDefault="00547C88">
      <w:r>
        <w:t>《群書治要３６Ｏ》第二冊</w:t>
      </w:r>
      <w:r>
        <w:t>—</w:t>
      </w:r>
      <w:r>
        <w:t xml:space="preserve">禮樂的作用　　悟道法師主講　　（第二五八集）　　</w:t>
      </w:r>
      <w:r>
        <w:t>2022/5/28</w:t>
      </w:r>
      <w:r>
        <w:t xml:space="preserve">　　華藏淨宗學會　　檔名：</w:t>
      </w:r>
      <w:r>
        <w:t xml:space="preserve">WD20-054-0258 </w:t>
      </w:r>
    </w:p>
    <w:p w14:paraId="64C2909E" w14:textId="77777777" w:rsidR="00547C88" w:rsidRDefault="00547C88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1732DC8F" w14:textId="77777777" w:rsidR="00547C88" w:rsidRDefault="00547C88">
      <w:pPr>
        <w:pStyle w:val="a3"/>
      </w:pPr>
      <w:r>
        <w:t xml:space="preserve">　　【二五八、哀有哭踊之節，樂有歌舞之容。正人足以副其誠，邪人足以防其失。】</w:t>
      </w:r>
      <w:r>
        <w:t xml:space="preserve"> </w:t>
      </w:r>
    </w:p>
    <w:p w14:paraId="154427A7" w14:textId="77777777" w:rsidR="00547C88" w:rsidRDefault="00547C88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72B1F301" w14:textId="77777777" w:rsidR="00547C88" w:rsidRDefault="00547C88">
      <w:pPr>
        <w:pStyle w:val="a3"/>
      </w:pPr>
      <w:r>
        <w:t xml:space="preserve">　　『哭踊』是古代喪禮的儀節，頓足拍胸而哭，表示極大的哀傷。『副』是符合的意思。</w:t>
      </w:r>
      <w:r>
        <w:t xml:space="preserve"> </w:t>
      </w:r>
    </w:p>
    <w:p w14:paraId="2FC45630" w14:textId="77777777" w:rsidR="00547C88" w:rsidRDefault="00547C88">
      <w:pPr>
        <w:pStyle w:val="a3"/>
      </w:pPr>
      <w:r>
        <w:t xml:space="preserve">　　在古禮當中，悲痛的時候會有一邊哭一邊頓足的禮節，高興的時候會有載歌載舞的儀容。「這對正直的人來說，足以與他的真誠相符；對偏邪的人來說，足以提防他的過失。」也就是禮樂它有這個作用，對『正人』，一個正人君子，就符合他的真誠了；對邪僻的人，提防他犯過失。所以禮樂保證社會風氣，非常重要。</w:t>
      </w:r>
      <w:r>
        <w:t xml:space="preserve"> </w:t>
      </w:r>
    </w:p>
    <w:p w14:paraId="1A2B4DC6" w14:textId="77777777" w:rsidR="00547C88" w:rsidRDefault="00547C88">
      <w:pPr>
        <w:pStyle w:val="a3"/>
      </w:pPr>
      <w:r>
        <w:t xml:space="preserve">　　好，這一條我們就學習到這裡。祝大家福慧增長，法喜充滿。阿彌陀佛！　　</w:t>
      </w:r>
    </w:p>
    <w:sectPr w:rsidR="00547C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85CC" w14:textId="77777777" w:rsidR="00547C88" w:rsidRDefault="00547C88" w:rsidP="00735DBF">
      <w:r>
        <w:separator/>
      </w:r>
    </w:p>
  </w:endnote>
  <w:endnote w:type="continuationSeparator" w:id="0">
    <w:p w14:paraId="3080034B" w14:textId="77777777" w:rsidR="00547C88" w:rsidRDefault="00547C88" w:rsidP="00735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6355" w14:textId="77777777" w:rsidR="00547C88" w:rsidRDefault="00547C88" w:rsidP="00735DBF">
      <w:r>
        <w:separator/>
      </w:r>
    </w:p>
  </w:footnote>
  <w:footnote w:type="continuationSeparator" w:id="0">
    <w:p w14:paraId="5246C2C3" w14:textId="77777777" w:rsidR="00547C88" w:rsidRDefault="00547C88" w:rsidP="00735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BF"/>
    <w:rsid w:val="00547C88"/>
    <w:rsid w:val="00735D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C20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D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D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D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D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